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685BF256" wp14:editId="2A6CCA60">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EBA29"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705322" w:rsidRPr="00705322">
        <w:rPr>
          <w:rFonts w:asciiTheme="majorHAnsi" w:hAnsiTheme="majorHAnsi"/>
          <w:b/>
          <w:color w:val="EEECE1" w:themeColor="background2"/>
          <w:sz w:val="20"/>
          <w:szCs w:val="20"/>
        </w:rPr>
        <w:t>Center for Continuing Healthcare Education</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E86EA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Center for Continuing Healthcare Education</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E86EA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Creating educational opportunities in healthcare.</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E86EA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E86EA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July 10,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E86EAC">
              <w:rPr>
                <w:rFonts w:ascii="Franklin Gothic Book" w:hAnsi="Franklin Gothic Book"/>
                <w:color w:val="4F81BD" w:themeColor="accent1"/>
              </w:rPr>
              <w:t xml:space="preserve"> Kim Crowley</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E86EAC">
              <w:rPr>
                <w:rFonts w:ascii="Franklin Gothic Book" w:hAnsi="Franklin Gothic Book"/>
                <w:color w:val="4F81BD" w:themeColor="accent1"/>
              </w:rPr>
              <w:t xml:space="preserve"> Director – Continuing Healthcare Education</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E86EAC">
              <w:rPr>
                <w:rFonts w:ascii="Franklin Gothic Book" w:hAnsi="Franklin Gothic Book"/>
                <w:color w:val="4F81BD" w:themeColor="accent1"/>
              </w:rPr>
              <w:t xml:space="preserve"> kacrowley@actx.edu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E86EAC">
              <w:rPr>
                <w:rFonts w:ascii="Franklin Gothic Book" w:hAnsi="Franklin Gothic Book"/>
                <w:color w:val="4F81BD" w:themeColor="accent1"/>
              </w:rPr>
              <w:t xml:space="preserve"> 806-354-6087</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E86EA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Melissa Burns – Professional Educational Coordinator and Sherrie Nunn Administrative Systems Specialist.</w:t>
            </w: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E86EA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CNA Student Report</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86EAC" w:rsidRDefault="006653E4" w:rsidP="006653E4">
            <w:pPr>
              <w:pStyle w:val="ListParagraph"/>
              <w:numPr>
                <w:ilvl w:val="0"/>
                <w:numId w:val="38"/>
              </w:numPr>
              <w:rPr>
                <w:rFonts w:ascii="Franklin Gothic Book" w:hAnsi="Franklin Gothic Book"/>
              </w:rPr>
            </w:pPr>
            <w:r>
              <w:rPr>
                <w:rFonts w:ascii="Franklin Gothic Book" w:hAnsi="Franklin Gothic Book"/>
              </w:rPr>
              <w:t xml:space="preserve">Students perceived value of Assistance with Resume writing during the course. 29 responses </w:t>
            </w:r>
            <w:r w:rsidR="00CF34F3">
              <w:rPr>
                <w:rFonts w:ascii="Franklin Gothic Book" w:hAnsi="Franklin Gothic Book"/>
              </w:rPr>
              <w:t>- one</w:t>
            </w:r>
            <w:r>
              <w:rPr>
                <w:rFonts w:ascii="Franklin Gothic Book" w:hAnsi="Franklin Gothic Book"/>
              </w:rPr>
              <w:t xml:space="preserve"> reported only a little value, 7 reported some value, 8 reported quite a bit of value and 13 reported it was very valuable.</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6653E4" w:rsidP="00186DF0">
            <w:pPr>
              <w:jc w:val="center"/>
              <w:rPr>
                <w:rFonts w:ascii="Franklin Gothic Book" w:hAnsi="Franklin Gothic Book"/>
                <w:color w:val="FF0000"/>
              </w:rPr>
            </w:pPr>
            <w:r>
              <w:rPr>
                <w:rFonts w:ascii="Franklin Gothic Book" w:hAnsi="Franklin Gothic Book"/>
                <w:color w:val="FF0000"/>
              </w:rPr>
              <w:t>X</w:t>
            </w:r>
          </w:p>
        </w:tc>
      </w:tr>
      <w:tr w:rsidR="00A350F8" w:rsidTr="00186DF0">
        <w:tc>
          <w:tcPr>
            <w:tcW w:w="3633" w:type="dxa"/>
          </w:tcPr>
          <w:p w:rsidR="00A350F8" w:rsidRPr="00E86EAC" w:rsidRDefault="00E86EAC" w:rsidP="000B2210">
            <w:pPr>
              <w:pStyle w:val="ListParagraph"/>
              <w:numPr>
                <w:ilvl w:val="0"/>
                <w:numId w:val="38"/>
              </w:numPr>
              <w:rPr>
                <w:rFonts w:ascii="Franklin Gothic Book" w:hAnsi="Franklin Gothic Book"/>
              </w:rPr>
            </w:pPr>
            <w:r>
              <w:rPr>
                <w:rFonts w:ascii="Franklin Gothic Book" w:hAnsi="Franklin Gothic Book"/>
              </w:rPr>
              <w:t xml:space="preserve">Number of times online materials were used each week by </w:t>
            </w:r>
            <w:r w:rsidR="000B2210">
              <w:rPr>
                <w:rFonts w:ascii="Franklin Gothic Book" w:hAnsi="Franklin Gothic Book"/>
              </w:rPr>
              <w:t>students: 29 students surveyed – 17 reported 4 or more times a week 6 reported 3 times per week, 4 reported 2 times per week and 2 reported once a week.  None of the students reported zero.</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0B2210" w:rsidP="00186DF0">
            <w:pPr>
              <w:jc w:val="center"/>
              <w:rPr>
                <w:rFonts w:ascii="Franklin Gothic Book" w:hAnsi="Franklin Gothic Book"/>
                <w:color w:val="FF0000"/>
              </w:rPr>
            </w:pPr>
            <w:r>
              <w:rPr>
                <w:rFonts w:ascii="Franklin Gothic Book" w:hAnsi="Franklin Gothic Book"/>
                <w:color w:val="FF0000"/>
              </w:rPr>
              <w:t>X</w:t>
            </w:r>
          </w:p>
        </w:tc>
      </w:tr>
      <w:tr w:rsidR="00A350F8" w:rsidTr="00186DF0">
        <w:tc>
          <w:tcPr>
            <w:tcW w:w="3633" w:type="dxa"/>
          </w:tcPr>
          <w:p w:rsidR="00A350F8" w:rsidRPr="00E86EAC" w:rsidRDefault="00E86EAC" w:rsidP="00E86EAC">
            <w:pPr>
              <w:pStyle w:val="ListParagraph"/>
              <w:numPr>
                <w:ilvl w:val="0"/>
                <w:numId w:val="38"/>
              </w:numPr>
              <w:rPr>
                <w:rFonts w:ascii="Franklin Gothic Book" w:hAnsi="Franklin Gothic Book"/>
              </w:rPr>
            </w:pPr>
            <w:r>
              <w:rPr>
                <w:rFonts w:ascii="Franklin Gothic Book" w:hAnsi="Franklin Gothic Book"/>
              </w:rPr>
              <w:t>How much did SimMan prepare you for clinicals</w:t>
            </w:r>
            <w:r w:rsidR="000B2210">
              <w:rPr>
                <w:rFonts w:ascii="Franklin Gothic Book" w:hAnsi="Franklin Gothic Book"/>
              </w:rPr>
              <w:t xml:space="preserve">: 29 students were surveyed – 3 reported nine at all, 7 reported only a little, 11 reported some, 4 reported quite a bit and 4 reported very </w:t>
            </w:r>
            <w:proofErr w:type="gramStart"/>
            <w:r w:rsidR="000B2210">
              <w:rPr>
                <w:rFonts w:ascii="Franklin Gothic Book" w:hAnsi="Franklin Gothic Book"/>
              </w:rPr>
              <w:t>much.</w:t>
            </w:r>
            <w:proofErr w:type="gramEnd"/>
          </w:p>
        </w:tc>
        <w:tc>
          <w:tcPr>
            <w:tcW w:w="1767" w:type="dxa"/>
          </w:tcPr>
          <w:p w:rsidR="00A350F8" w:rsidRPr="00FF0E36" w:rsidRDefault="000B2210"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6653E4" w:rsidP="006653E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AS we continue to work with SimMan and the CNA students we believe that the inherent value of the Simulation response is not being recognized by this level of students for several reasons the biggest being that the high fidelity responses and simulation that can be manipulated may be too far above these students function level - they get more use and respond better to the lower fidelity manikins and to the standardized patient simulations.  </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lastRenderedPageBreak/>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6653E4" w:rsidRPr="006653E4" w:rsidRDefault="006653E4" w:rsidP="006653E4">
            <w:pPr>
              <w:ind w:left="900"/>
              <w:rPr>
                <w:rFonts w:ascii="Franklin Gothic Book" w:hAnsi="Franklin Gothic Book"/>
                <w:color w:val="4F81BD" w:themeColor="accent1"/>
              </w:rPr>
            </w:pPr>
            <w:r w:rsidRPr="006653E4">
              <w:rPr>
                <w:rFonts w:ascii="Franklin Gothic Book" w:hAnsi="Franklin Gothic Book"/>
                <w:color w:val="4F81BD" w:themeColor="accent1"/>
              </w:rPr>
              <w:t>Since the</w:t>
            </w:r>
            <w:r>
              <w:rPr>
                <w:rFonts w:ascii="Franklin Gothic Book" w:hAnsi="Franklin Gothic Book"/>
                <w:color w:val="4F81BD" w:themeColor="accent1"/>
              </w:rPr>
              <w:t xml:space="preserve"> CNA students </w:t>
            </w:r>
            <w:r w:rsidRPr="006653E4">
              <w:rPr>
                <w:rFonts w:ascii="Franklin Gothic Book" w:hAnsi="Franklin Gothic Book"/>
                <w:color w:val="4F81BD" w:themeColor="accent1"/>
              </w:rPr>
              <w:t>focus is on geriatric care rather than emergent situational care.  We are now considering changing from the use of sim man to the use of skill trainers and standardized patients exclusively to allow other groups more time for use of Sim</w:t>
            </w:r>
            <w:r>
              <w:rPr>
                <w:rFonts w:ascii="Franklin Gothic Book" w:hAnsi="Franklin Gothic Book"/>
                <w:color w:val="4F81BD" w:themeColor="accent1"/>
              </w:rPr>
              <w:t>M</w:t>
            </w:r>
            <w:r w:rsidRPr="006653E4">
              <w:rPr>
                <w:rFonts w:ascii="Franklin Gothic Book" w:hAnsi="Franklin Gothic Book"/>
                <w:color w:val="4F81BD" w:themeColor="accent1"/>
              </w:rPr>
              <w:t>an in all his capacities.</w:t>
            </w:r>
            <w:r>
              <w:rPr>
                <w:rFonts w:ascii="Franklin Gothic Book" w:hAnsi="Franklin Gothic Book"/>
                <w:color w:val="4F81BD" w:themeColor="accent1"/>
              </w:rPr>
              <w:t xml:space="preserve">  We are trialing the exclusion of SimMan with our Summer cohort.</w:t>
            </w:r>
          </w:p>
          <w:p w:rsidR="00DB49B3" w:rsidRPr="006653E4" w:rsidRDefault="00DB49B3" w:rsidP="006653E4">
            <w:pPr>
              <w:ind w:left="900"/>
              <w:rPr>
                <w:rFonts w:ascii="Franklin Gothic Book" w:hAnsi="Franklin Gothic Book"/>
                <w:color w:val="4F81BD" w:themeColor="accent1"/>
              </w:rPr>
            </w:pPr>
          </w:p>
          <w:p w:rsidR="00DB49B3" w:rsidRPr="006653E4" w:rsidRDefault="00DB49B3" w:rsidP="006653E4">
            <w:pPr>
              <w:ind w:left="90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6653E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6653E4"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Based on our findings in the previous year we continued our review of the Massage therapy program.  After the changes instituted during the last year we found that 100% of our students felt they were adequately prepared for the State Licensing exam.  All our students agreed that the changes increased the rigor of the program. 6 of our students had recommendations that more focus be added to the Swedish massage sections and we have had 3 students </w:t>
            </w:r>
            <w:r w:rsidR="00D41EF6">
              <w:rPr>
                <w:rFonts w:ascii="Franklin Gothic Book" w:hAnsi="Franklin Gothic Book"/>
                <w:color w:val="4F81BD" w:themeColor="accent1"/>
              </w:rPr>
              <w:t xml:space="preserve">who have returned to provide feedback after the Licensing exam and have expressed that we should spend more time on some of the nomenclature and vocabulary for the business </w:t>
            </w:r>
            <w:r w:rsidR="00883232">
              <w:rPr>
                <w:rFonts w:ascii="Franklin Gothic Book" w:hAnsi="Franklin Gothic Book"/>
                <w:color w:val="4F81BD" w:themeColor="accent1"/>
              </w:rPr>
              <w:t>course as</w:t>
            </w:r>
            <w:r w:rsidR="00D41EF6">
              <w:rPr>
                <w:rFonts w:ascii="Franklin Gothic Book" w:hAnsi="Franklin Gothic Book"/>
                <w:color w:val="4F81BD" w:themeColor="accent1"/>
              </w:rPr>
              <w:t xml:space="preserve"> well as more time on Swedish massage which would significantly improve their comfort level with the licensing exam.</w:t>
            </w: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D41EF6"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Based on this information we are creating vocabulary quizzes and activities for the business and ethics course and will be shortening the specialty areas in fundamentals two so that we can add time to the in-depth coverage of Swedish massage in the second semester.</w:t>
            </w: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D41EF6" w:rsidP="00D41EF6">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CCHcE Department focuses intently on the no excuses goals and initiatives in almost every aspect of our programs.  </w:t>
            </w:r>
            <w:r w:rsidR="0033572E">
              <w:rPr>
                <w:rFonts w:ascii="Franklin Gothic Book" w:hAnsi="Franklin Gothic Book"/>
                <w:color w:val="4F81BD" w:themeColor="accent1"/>
              </w:rPr>
              <w:t xml:space="preserve">We have focused on customer service over the past year and are working to institute early warnings to our CNA students who are struggling.  With the instructors help and the creation of the Patient Care Programs Coordinator we are better able to follow students closely and support them to stay on track with the programs and courses so that they can be successful.  The </w:t>
            </w:r>
            <w:r w:rsidR="0015311D">
              <w:rPr>
                <w:rFonts w:ascii="Franklin Gothic Book" w:hAnsi="Franklin Gothic Book"/>
                <w:color w:val="4F81BD" w:themeColor="accent1"/>
              </w:rPr>
              <w:t>implementation of additional hours for Access lab practice and tutorial support has</w:t>
            </w:r>
            <w:r w:rsidR="0033572E">
              <w:rPr>
                <w:rFonts w:ascii="Franklin Gothic Book" w:hAnsi="Franklin Gothic Book"/>
                <w:color w:val="4F81BD" w:themeColor="accent1"/>
              </w:rPr>
              <w:t xml:space="preserve"> been well received and improved student success in the CNA program.  </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D41EF6" w:rsidRPr="00D41EF6" w:rsidRDefault="00D41EF6" w:rsidP="00D41EF6">
            <w:pPr>
              <w:ind w:left="810"/>
              <w:rPr>
                <w:rFonts w:ascii="Franklin Gothic Book" w:hAnsi="Franklin Gothic Book"/>
                <w:color w:val="4F81BD" w:themeColor="accent1"/>
              </w:rPr>
            </w:pPr>
            <w:r w:rsidRPr="00D41EF6">
              <w:rPr>
                <w:rFonts w:ascii="Franklin Gothic Book" w:hAnsi="Franklin Gothic Book"/>
                <w:color w:val="4F81BD" w:themeColor="accent1"/>
              </w:rPr>
              <w:t>The most significant</w:t>
            </w:r>
            <w:r w:rsidR="0033572E">
              <w:rPr>
                <w:rFonts w:ascii="Franklin Gothic Book" w:hAnsi="Franklin Gothic Book"/>
                <w:color w:val="4F81BD" w:themeColor="accent1"/>
              </w:rPr>
              <w:t xml:space="preserve"> change</w:t>
            </w:r>
            <w:r w:rsidRPr="00D41EF6">
              <w:rPr>
                <w:rFonts w:ascii="Franklin Gothic Book" w:hAnsi="Franklin Gothic Book"/>
                <w:color w:val="4F81BD" w:themeColor="accent1"/>
              </w:rPr>
              <w:t xml:space="preserve"> that we have </w:t>
            </w:r>
            <w:r w:rsidR="0033572E">
              <w:rPr>
                <w:rFonts w:ascii="Franklin Gothic Book" w:hAnsi="Franklin Gothic Book"/>
                <w:color w:val="4F81BD" w:themeColor="accent1"/>
              </w:rPr>
              <w:t>made</w:t>
            </w:r>
            <w:r w:rsidRPr="00D41EF6">
              <w:rPr>
                <w:rFonts w:ascii="Franklin Gothic Book" w:hAnsi="Franklin Gothic Book"/>
                <w:color w:val="4F81BD" w:themeColor="accent1"/>
              </w:rPr>
              <w:t xml:space="preserve"> that this year is to institute departmental change that will allow us to hire a departmental advisor on a full time basis to assist our students through the processes of entering our programs and of transitioning into other academic programs.  In order to do this we had to delete another staff position and all staff had to take on additional clerical and support duties.   The department believes however that this is the most significant assistance we can give to our students.  This advisor will assist students with any and all barriers and road blocks they face and works closely with our CE faculty to keep students moving through the programs and improving their success from program entry through completion and latticing to academics if desired.</w:t>
            </w:r>
          </w:p>
          <w:p w:rsidR="00562EBC" w:rsidRPr="00D41EF6" w:rsidRDefault="00562EBC" w:rsidP="00D41EF6">
            <w:pPr>
              <w:ind w:left="810"/>
              <w:rPr>
                <w:rFonts w:ascii="Franklin Gothic Book" w:hAnsi="Franklin Gothic Book"/>
                <w:color w:val="4F81BD" w:themeColor="accent1"/>
              </w:rPr>
            </w:pPr>
          </w:p>
          <w:p w:rsidR="00562EBC" w:rsidRPr="00D41EF6" w:rsidRDefault="00562EBC" w:rsidP="00D41EF6">
            <w:pPr>
              <w:ind w:left="81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5E7B84" w:rsidP="005E7B84">
            <w:pPr>
              <w:pStyle w:val="ListParagraph"/>
              <w:ind w:left="0"/>
              <w:rPr>
                <w:rFonts w:ascii="Franklin Gothic Book" w:hAnsi="Franklin Gothic Book"/>
                <w:color w:val="4F81BD" w:themeColor="accent1"/>
              </w:rPr>
            </w:pPr>
            <w:r>
              <w:rPr>
                <w:rFonts w:ascii="Franklin Gothic Book" w:hAnsi="Franklin Gothic Book"/>
                <w:color w:val="4F81BD" w:themeColor="accent1"/>
              </w:rPr>
              <w:t>Customer service will be a priority for everyone rather than just the front desk person.</w:t>
            </w:r>
          </w:p>
        </w:tc>
      </w:tr>
    </w:tbl>
    <w:p w:rsidR="005E7B84" w:rsidRPr="005E7B84" w:rsidRDefault="005E7B84" w:rsidP="005E7B84">
      <w:pPr>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Default="0033572E" w:rsidP="005464BF">
            <w:pPr>
              <w:pStyle w:val="ListParagraph"/>
              <w:ind w:left="0"/>
              <w:rPr>
                <w:rFonts w:ascii="Franklin Gothic Book" w:hAnsi="Franklin Gothic Book"/>
                <w:color w:val="4F81BD" w:themeColor="accent1"/>
              </w:rPr>
            </w:pPr>
            <w:r>
              <w:rPr>
                <w:rFonts w:ascii="Franklin Gothic Book" w:hAnsi="Franklin Gothic Book"/>
                <w:color w:val="4F81BD" w:themeColor="accent1"/>
              </w:rPr>
              <w:t>After implementing and conducting Instructor updates for AHA CPR instructors and redesigning the work flow for CPR instructors</w:t>
            </w:r>
            <w:r w:rsidR="005E7B84">
              <w:rPr>
                <w:rFonts w:ascii="Franklin Gothic Book" w:hAnsi="Franklin Gothic Book"/>
                <w:color w:val="4F81BD" w:themeColor="accent1"/>
              </w:rPr>
              <w:t>,</w:t>
            </w:r>
            <w:r>
              <w:rPr>
                <w:rFonts w:ascii="Franklin Gothic Book" w:hAnsi="Franklin Gothic Book"/>
                <w:color w:val="4F81BD" w:themeColor="accent1"/>
              </w:rPr>
              <w:t xml:space="preserve"> </w:t>
            </w:r>
            <w:r w:rsidR="00C010B4">
              <w:rPr>
                <w:rFonts w:ascii="Franklin Gothic Book" w:hAnsi="Franklin Gothic Book"/>
                <w:color w:val="4F81BD" w:themeColor="accent1"/>
              </w:rPr>
              <w:t>85% of rosters will have cards printed and issued to the instructors within the 20 day AHA regulated Time frame.</w:t>
            </w:r>
          </w:p>
          <w:p w:rsidR="00B618DA" w:rsidRPr="004D3599" w:rsidRDefault="00B618DA" w:rsidP="005464BF">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C010B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department created a spread sheet to track CPR instructor roster submissions and number of cards issued.  As cards are issued to instructors they are added to the spreadsheet data so that we may track not only the cards but the instructors teaching records, types of courses taught and number of student contacts the Training Center sees.  Our results showed we were able to achieve 82%.we discovered that we had to change and inforce policies regarding the roster submissions in a timely manner in order to achieve our goal – if the roster is not submitted by faculty with in the 20 day limit – it is impossible to issue cards in a timely manner.  This is being addressed with faculty and we will continue to monitor and attempt to reach 90% during the next year.</w:t>
            </w:r>
          </w:p>
          <w:p w:rsidR="005E7B84" w:rsidRDefault="005E7B84" w:rsidP="00F34DB9">
            <w:pPr>
              <w:pStyle w:val="ListParagraph"/>
              <w:ind w:left="0"/>
              <w:rPr>
                <w:rFonts w:ascii="Franklin Gothic Book" w:hAnsi="Franklin Gothic Book"/>
                <w:color w:val="4F81BD" w:themeColor="accent1"/>
              </w:rPr>
            </w:pPr>
          </w:p>
          <w:p w:rsidR="008F43B9" w:rsidRPr="004D3599" w:rsidRDefault="005E7B8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transition into not having a frontline customer service staff assistant in our office was our biggest project this year and took a great deal of departmental redesign to accomplish.  The department needed to remove the position in order to pave the way for a student advisor position and in order to do that frontline customer service and job duties had to change in order to ensure we remained attentive and customer focused.  </w:t>
            </w: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C010B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discovered that we have to change and inforce policies regarding the roster submissions in a timely manner in order to achieve our goal – if the roster is not submitted by faculty with in the 20 day limit – it is impossible to issue cards in a timely manner.  This is being addressed with faculty and we will continue to monitor and attempt to reach 90% during the next year.</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CB0260" w:rsidRPr="005E7B84" w:rsidRDefault="00CB0260" w:rsidP="005E7B84">
      <w:pPr>
        <w:rPr>
          <w:rFonts w:ascii="Franklin Gothic Book" w:hAnsi="Franklin Gothic Book"/>
          <w:color w:val="FF0000"/>
          <w:sz w:val="24"/>
        </w:rPr>
      </w:pPr>
      <w:bookmarkStart w:id="0" w:name="_GoBack"/>
      <w:bookmarkEnd w:id="0"/>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C010B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From goal 2 number 2.1 expansion of services and offerings.  We wrote a proposal that was accepted as a grant by the Texas Workforce commission to enable us to offer 18 certification review courses over this year and increase our work with Nursing CE to include over 200 licensed nurses attending courses this year.</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C010B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Strategic plan needs to focus on breaking down walls and barriers internally – which can lead to breaking down more barriers for our students.  If we can form inclusion groups and committees – that look at all areas – CE , academic, technical, community and all employee groups – Administrative, Faculty and Classified – we ca</w:t>
            </w:r>
            <w:r w:rsidR="00B95395">
              <w:rPr>
                <w:rFonts w:ascii="Franklin Gothic Book" w:hAnsi="Franklin Gothic Book"/>
                <w:color w:val="4F81BD" w:themeColor="accent1"/>
              </w:rPr>
              <w:t>n</w:t>
            </w:r>
            <w:r>
              <w:rPr>
                <w:rFonts w:ascii="Franklin Gothic Book" w:hAnsi="Franklin Gothic Book"/>
                <w:color w:val="4F81BD" w:themeColor="accent1"/>
              </w:rPr>
              <w:t xml:space="preserve"> unify the college and we will be able to move forward more quickly and advance the College to the overall goals </w:t>
            </w:r>
            <w:r w:rsidR="00B95395">
              <w:rPr>
                <w:rFonts w:ascii="Franklin Gothic Book" w:hAnsi="Franklin Gothic Book"/>
                <w:color w:val="4F81BD" w:themeColor="accent1"/>
              </w:rPr>
              <w:t>that the President has set for us.</w:t>
            </w:r>
            <w:r>
              <w:rPr>
                <w:rFonts w:ascii="Franklin Gothic Book" w:hAnsi="Franklin Gothic Book"/>
                <w:color w:val="4F81BD" w:themeColor="accent1"/>
              </w:rPr>
              <w:t xml:space="preserve"> </w:t>
            </w:r>
            <w:r w:rsidR="00B95395">
              <w:rPr>
                <w:rFonts w:ascii="Franklin Gothic Book" w:hAnsi="Franklin Gothic Book"/>
                <w:color w:val="4F81BD" w:themeColor="accent1"/>
              </w:rPr>
              <w:t xml:space="preserve">  We have to get everyone out of their silos and onto the playing field together.</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B9539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B9539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B9539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B9539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B9539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B9539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B95395" w:rsidRDefault="00B95395" w:rsidP="00B95395">
            <w:pPr>
              <w:pStyle w:val="Default"/>
              <w:rPr>
                <w:sz w:val="22"/>
                <w:szCs w:val="22"/>
              </w:rPr>
            </w:pPr>
            <w:r>
              <w:rPr>
                <w:sz w:val="22"/>
                <w:szCs w:val="22"/>
              </w:rPr>
              <w:t xml:space="preserve">Each of the programs within our department have components of all of the listed objectives within them: </w:t>
            </w:r>
          </w:p>
          <w:p w:rsidR="00875A4E" w:rsidRPr="004D3599" w:rsidRDefault="00B95395" w:rsidP="00B95395">
            <w:pPr>
              <w:pStyle w:val="ListParagraph"/>
              <w:ind w:left="0"/>
              <w:rPr>
                <w:rFonts w:ascii="Franklin Gothic Book" w:hAnsi="Franklin Gothic Book"/>
                <w:color w:val="4F81BD" w:themeColor="accent1"/>
              </w:rPr>
            </w:pPr>
            <w:r>
              <w:t xml:space="preserve">CNA, PCT, EKG, HUC and Phlebotomy include: Resume writing, Mock interviews, Group activities, Case Studies to improve critical thinking and public/community impact lessons based on public and community health being everyone’s responsibility.  Our Massage Therapy </w:t>
            </w:r>
            <w:r>
              <w:lastRenderedPageBreak/>
              <w:t>Program also includes these concepts and even includes a business and ethics course and the requirement to create a detailed business plan and resume.</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B95395"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B95395"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rsidR="00780BF1" w:rsidRDefault="00B95395"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B95395"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B9539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have only just begun to include the web and email support to our students providing them with the promise of a web or email response within 24 hour. We are trialing – Text message support and our faculty are working with a cohort of students on this project currently since – texting seems to be our students – preferred method of communication.</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95395" w:rsidRDefault="00B95395" w:rsidP="00B95395">
            <w:pPr>
              <w:pStyle w:val="Default"/>
            </w:pPr>
            <w:r>
              <w:rPr>
                <w:sz w:val="22"/>
                <w:szCs w:val="22"/>
              </w:rPr>
              <w:t xml:space="preserve">The department maintains required hard copy documentation of class and student activities in locked file cabinets which are also locked in the office area. No student documentation is allowed to be taken home with a staff member. Discussions during staff meetings address ways to maintain confidentiality and improve processes to improve security of data. Discussions include review of FERPA rules and discussions of how to improve our compliance. – </w:t>
            </w:r>
            <w:r w:rsidR="00BA64AC">
              <w:rPr>
                <w:sz w:val="22"/>
                <w:szCs w:val="22"/>
              </w:rPr>
              <w:t>Computer</w:t>
            </w:r>
            <w:r>
              <w:rPr>
                <w:sz w:val="22"/>
                <w:szCs w:val="22"/>
              </w:rPr>
              <w:t xml:space="preserve"> screens in open areas are equipped with privacy screens and Staff are trained not to release information to anyone other than the student. </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95395" w:rsidRDefault="00B95395" w:rsidP="00B95395">
            <w:pPr>
              <w:pStyle w:val="Default"/>
              <w:rPr>
                <w:sz w:val="22"/>
                <w:szCs w:val="22"/>
              </w:rPr>
            </w:pPr>
            <w:r>
              <w:rPr>
                <w:sz w:val="22"/>
                <w:szCs w:val="22"/>
              </w:rPr>
              <w:t xml:space="preserve">Student complaint procedures are addressed with faculty and staff at the beginning of each semester and staff and faculty are encouraged to bring any questions or concerns to the Director as soon as possible. </w:t>
            </w:r>
          </w:p>
          <w:p w:rsidR="00B01E2C" w:rsidRDefault="00B95395" w:rsidP="00B95395">
            <w:pPr>
              <w:pStyle w:val="ListParagraph"/>
              <w:ind w:left="0"/>
            </w:pPr>
            <w:r>
              <w:lastRenderedPageBreak/>
              <w:t xml:space="preserve">All student complaints are reviewed and may be sent up the chain of command as needed. </w:t>
            </w:r>
          </w:p>
          <w:p w:rsidR="00B95395" w:rsidRPr="004D3599" w:rsidRDefault="00B95395" w:rsidP="00B95395">
            <w:pPr>
              <w:pStyle w:val="ListParagraph"/>
              <w:ind w:left="0"/>
              <w:rPr>
                <w:rFonts w:ascii="Franklin Gothic Book" w:hAnsi="Franklin Gothic Book"/>
                <w:color w:val="4F81BD" w:themeColor="accent1"/>
              </w:rPr>
            </w:pPr>
            <w:r>
              <w:t>We are making changes to this for Fall of 2015 with the official arrival of our full time advisor and will include our advisor in all student complaint processes.</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A67AE7" w:rsidRPr="00B95395" w:rsidRDefault="00B95395" w:rsidP="00B95395">
            <w:pPr>
              <w:ind w:left="900"/>
              <w:rPr>
                <w:rFonts w:ascii="Franklin Gothic Book" w:hAnsi="Franklin Gothic Book"/>
                <w:color w:val="4F81BD" w:themeColor="accent1"/>
              </w:rPr>
            </w:pPr>
            <w:r>
              <w:t>We are making changes to this for Fall of 2015 with the official arrival of our full time advisor and will include our advisor in all student complaint processes.  This will allow for an impartial outside professional to assist with the resolution of all student problems and complaints.</w:t>
            </w: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B9539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are currently making adjustments to the CNA program due to changes in how students register for the State exam this change goes into effect on July 20</w:t>
            </w:r>
            <w:r w:rsidRPr="00B95395">
              <w:rPr>
                <w:rFonts w:ascii="Franklin Gothic Book" w:hAnsi="Franklin Gothic Book"/>
                <w:color w:val="4F81BD" w:themeColor="accent1"/>
                <w:vertAlign w:val="superscript"/>
              </w:rPr>
              <w:t>th</w:t>
            </w:r>
            <w:r>
              <w:rPr>
                <w:rFonts w:ascii="Franklin Gothic Book" w:hAnsi="Franklin Gothic Book"/>
                <w:color w:val="4F81BD" w:themeColor="accent1"/>
              </w:rPr>
              <w:t xml:space="preserve"> of this year and will require significant changes in the testing application process.  We have redesigning how this is incorporated from the application and registration process all the way through course completion and petition to test.</w:t>
            </w:r>
            <w:r w:rsidR="00896E61">
              <w:rPr>
                <w:rFonts w:ascii="Franklin Gothic Book" w:hAnsi="Franklin Gothic Book"/>
                <w:color w:val="4F81BD" w:themeColor="accent1"/>
              </w:rPr>
              <w:t xml:space="preserve">  The paper process ended on May 21 and we have been in a blackout period since then.  When the new process</w:t>
            </w:r>
            <w:r w:rsidR="00C077E8">
              <w:rPr>
                <w:rFonts w:ascii="Franklin Gothic Book" w:hAnsi="Franklin Gothic Book"/>
                <w:color w:val="4F81BD" w:themeColor="accent1"/>
              </w:rPr>
              <w:t xml:space="preserve"> </w:t>
            </w:r>
            <w:r w:rsidR="00896E61">
              <w:rPr>
                <w:rFonts w:ascii="Franklin Gothic Book" w:hAnsi="Franklin Gothic Book"/>
                <w:color w:val="4F81BD" w:themeColor="accent1"/>
              </w:rPr>
              <w:t>begin</w:t>
            </w:r>
            <w:r w:rsidR="00C1164A">
              <w:rPr>
                <w:rFonts w:ascii="Franklin Gothic Book" w:hAnsi="Franklin Gothic Book"/>
                <w:color w:val="4F81BD" w:themeColor="accent1"/>
              </w:rPr>
              <w:t>s</w:t>
            </w:r>
            <w:r w:rsidR="00896E61">
              <w:rPr>
                <w:rFonts w:ascii="Franklin Gothic Book" w:hAnsi="Franklin Gothic Book"/>
                <w:color w:val="4F81BD" w:themeColor="accent1"/>
              </w:rPr>
              <w:t xml:space="preserve"> this month they will be all electronic and students will be required to</w:t>
            </w:r>
            <w:r w:rsidR="00C077E8">
              <w:rPr>
                <w:rFonts w:ascii="Franklin Gothic Book" w:hAnsi="Franklin Gothic Book"/>
                <w:color w:val="4F81BD" w:themeColor="accent1"/>
              </w:rPr>
              <w:t xml:space="preserve"> complete a multi-step online process which we must </w:t>
            </w:r>
            <w:r w:rsidR="003020B9">
              <w:rPr>
                <w:rFonts w:ascii="Franklin Gothic Book" w:hAnsi="Franklin Gothic Book"/>
                <w:color w:val="4F81BD" w:themeColor="accent1"/>
              </w:rPr>
              <w:t>prepare</w:t>
            </w:r>
            <w:r w:rsidR="00C077E8">
              <w:rPr>
                <w:rFonts w:ascii="Franklin Gothic Book" w:hAnsi="Franklin Gothic Book"/>
                <w:color w:val="4F81BD" w:themeColor="accent1"/>
              </w:rPr>
              <w:t xml:space="preserve"> them for.</w:t>
            </w: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C1164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C1164A" w:rsidRDefault="00C1164A" w:rsidP="00C1164A">
            <w:pPr>
              <w:pStyle w:val="Default"/>
            </w:pPr>
            <w:r>
              <w:rPr>
                <w:sz w:val="22"/>
                <w:szCs w:val="22"/>
              </w:rPr>
              <w:t xml:space="preserve">The biggest obstacle the department faces is the tremendous workload that continually keeps both faculty and staff rushing just to stay even with the onslaught which doesn’t leave any time for simply stopping and assessing and making improvements. Because we are CE our department is often – left out or completely misrepresented and misunderstood within the college as a whole. Specific evidence of this is the lack of understanding of how and if CE can use blackboard and the impact that has on AC, the lack of linked courses and crossover of programs when the crossover would be natural and should be happening. AC could realize some significant budget savings and improve student success if these two sides could come together as one with respect and understanding. Neither side really </w:t>
            </w:r>
            <w:r>
              <w:rPr>
                <w:sz w:val="22"/>
                <w:szCs w:val="22"/>
              </w:rPr>
              <w:lastRenderedPageBreak/>
              <w:t xml:space="preserve">knows or understands what the other side does – this needs to change – how can we work together and move forward if we don’t know anything about each other. We are in the business of education – we need to educate ourselves. </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C1164A" w:rsidRDefault="00C1164A" w:rsidP="00C1164A">
            <w:pPr>
              <w:pStyle w:val="Default"/>
            </w:pPr>
            <w:r>
              <w:rPr>
                <w:sz w:val="22"/>
                <w:szCs w:val="22"/>
              </w:rPr>
              <w:t xml:space="preserve">Thank you for allowing us to have some input. We are a great institution but like all we can make improvements that will improve us all. </w:t>
            </w: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5D" w:rsidRDefault="0080135D" w:rsidP="005834C6">
      <w:pPr>
        <w:spacing w:after="0" w:line="240" w:lineRule="auto"/>
      </w:pPr>
      <w:r>
        <w:separator/>
      </w:r>
    </w:p>
  </w:endnote>
  <w:endnote w:type="continuationSeparator" w:id="0">
    <w:p w:rsidR="0080135D" w:rsidRDefault="0080135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E7B84" w:rsidRPr="005E7B84">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5D" w:rsidRDefault="0080135D" w:rsidP="005834C6">
      <w:pPr>
        <w:spacing w:after="0" w:line="240" w:lineRule="auto"/>
      </w:pPr>
      <w:r>
        <w:separator/>
      </w:r>
    </w:p>
  </w:footnote>
  <w:footnote w:type="continuationSeparator" w:id="0">
    <w:p w:rsidR="0080135D" w:rsidRDefault="0080135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0590724"/>
    <w:multiLevelType w:val="hybridMultilevel"/>
    <w:tmpl w:val="3D6E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1"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5"/>
  </w:num>
  <w:num w:numId="2">
    <w:abstractNumId w:val="3"/>
  </w:num>
  <w:num w:numId="3">
    <w:abstractNumId w:val="6"/>
  </w:num>
  <w:num w:numId="4">
    <w:abstractNumId w:val="30"/>
  </w:num>
  <w:num w:numId="5">
    <w:abstractNumId w:val="0"/>
  </w:num>
  <w:num w:numId="6">
    <w:abstractNumId w:val="21"/>
  </w:num>
  <w:num w:numId="7">
    <w:abstractNumId w:val="19"/>
  </w:num>
  <w:num w:numId="8">
    <w:abstractNumId w:val="36"/>
  </w:num>
  <w:num w:numId="9">
    <w:abstractNumId w:val="15"/>
  </w:num>
  <w:num w:numId="10">
    <w:abstractNumId w:val="32"/>
  </w:num>
  <w:num w:numId="11">
    <w:abstractNumId w:val="14"/>
  </w:num>
  <w:num w:numId="12">
    <w:abstractNumId w:val="33"/>
  </w:num>
  <w:num w:numId="13">
    <w:abstractNumId w:val="34"/>
  </w:num>
  <w:num w:numId="14">
    <w:abstractNumId w:val="12"/>
  </w:num>
  <w:num w:numId="15">
    <w:abstractNumId w:val="22"/>
  </w:num>
  <w:num w:numId="16">
    <w:abstractNumId w:val="16"/>
  </w:num>
  <w:num w:numId="17">
    <w:abstractNumId w:val="23"/>
  </w:num>
  <w:num w:numId="18">
    <w:abstractNumId w:val="29"/>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1"/>
  </w:num>
  <w:num w:numId="29">
    <w:abstractNumId w:val="4"/>
  </w:num>
  <w:num w:numId="30">
    <w:abstractNumId w:val="37"/>
  </w:num>
  <w:num w:numId="31">
    <w:abstractNumId w:val="28"/>
  </w:num>
  <w:num w:numId="32">
    <w:abstractNumId w:val="10"/>
  </w:num>
  <w:num w:numId="33">
    <w:abstractNumId w:val="26"/>
  </w:num>
  <w:num w:numId="34">
    <w:abstractNumId w:val="18"/>
  </w:num>
  <w:num w:numId="35">
    <w:abstractNumId w:val="9"/>
  </w:num>
  <w:num w:numId="36">
    <w:abstractNumId w:val="8"/>
  </w:num>
  <w:num w:numId="37">
    <w:abstractNumId w:val="2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B2210"/>
    <w:rsid w:val="000B5B02"/>
    <w:rsid w:val="000C410A"/>
    <w:rsid w:val="000C7DF3"/>
    <w:rsid w:val="000C7ED0"/>
    <w:rsid w:val="000E73E1"/>
    <w:rsid w:val="000F190E"/>
    <w:rsid w:val="000F1B84"/>
    <w:rsid w:val="000F28EB"/>
    <w:rsid w:val="00101040"/>
    <w:rsid w:val="00114123"/>
    <w:rsid w:val="001277A4"/>
    <w:rsid w:val="0015287B"/>
    <w:rsid w:val="0015311D"/>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020B9"/>
    <w:rsid w:val="00317B6F"/>
    <w:rsid w:val="0033572E"/>
    <w:rsid w:val="003366F1"/>
    <w:rsid w:val="00337131"/>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E7B84"/>
    <w:rsid w:val="0060185F"/>
    <w:rsid w:val="00607F64"/>
    <w:rsid w:val="00614426"/>
    <w:rsid w:val="00627AAF"/>
    <w:rsid w:val="00631A9B"/>
    <w:rsid w:val="00641E9D"/>
    <w:rsid w:val="0065490E"/>
    <w:rsid w:val="006653E4"/>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05322"/>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135D"/>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83232"/>
    <w:rsid w:val="00896E61"/>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5395"/>
    <w:rsid w:val="00B96B6B"/>
    <w:rsid w:val="00BA5FD7"/>
    <w:rsid w:val="00BA64AC"/>
    <w:rsid w:val="00BB19E8"/>
    <w:rsid w:val="00BB1C87"/>
    <w:rsid w:val="00BC2C75"/>
    <w:rsid w:val="00BD1F58"/>
    <w:rsid w:val="00C010B4"/>
    <w:rsid w:val="00C077E8"/>
    <w:rsid w:val="00C1164A"/>
    <w:rsid w:val="00C14035"/>
    <w:rsid w:val="00C140E0"/>
    <w:rsid w:val="00C17AC3"/>
    <w:rsid w:val="00C35B42"/>
    <w:rsid w:val="00C37A81"/>
    <w:rsid w:val="00C4372B"/>
    <w:rsid w:val="00C44020"/>
    <w:rsid w:val="00C64A7C"/>
    <w:rsid w:val="00C75ED7"/>
    <w:rsid w:val="00C91B03"/>
    <w:rsid w:val="00CA0371"/>
    <w:rsid w:val="00CB0260"/>
    <w:rsid w:val="00CB6DC4"/>
    <w:rsid w:val="00CC3149"/>
    <w:rsid w:val="00CC7E78"/>
    <w:rsid w:val="00CD3270"/>
    <w:rsid w:val="00CD6C97"/>
    <w:rsid w:val="00CE52FA"/>
    <w:rsid w:val="00CF34F3"/>
    <w:rsid w:val="00D008A8"/>
    <w:rsid w:val="00D03659"/>
    <w:rsid w:val="00D11FFB"/>
    <w:rsid w:val="00D12FA2"/>
    <w:rsid w:val="00D13B21"/>
    <w:rsid w:val="00D14CCD"/>
    <w:rsid w:val="00D22FE0"/>
    <w:rsid w:val="00D30426"/>
    <w:rsid w:val="00D31C93"/>
    <w:rsid w:val="00D379AB"/>
    <w:rsid w:val="00D37FCD"/>
    <w:rsid w:val="00D41EF6"/>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76D42"/>
    <w:rsid w:val="00E86EAC"/>
    <w:rsid w:val="00EA1690"/>
    <w:rsid w:val="00EA17B8"/>
    <w:rsid w:val="00EA7713"/>
    <w:rsid w:val="00EC6AA6"/>
    <w:rsid w:val="00ED120D"/>
    <w:rsid w:val="00ED6BB6"/>
    <w:rsid w:val="00EF0844"/>
    <w:rsid w:val="00EF5CF9"/>
    <w:rsid w:val="00F150D3"/>
    <w:rsid w:val="00F25085"/>
    <w:rsid w:val="00F350C8"/>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BDB6DE-32A3-47ED-B11B-613B90D7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5395"/>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10</cp:revision>
  <cp:lastPrinted>2013-07-15T14:12:00Z</cp:lastPrinted>
  <dcterms:created xsi:type="dcterms:W3CDTF">2015-07-10T15:33:00Z</dcterms:created>
  <dcterms:modified xsi:type="dcterms:W3CDTF">2015-09-15T21:12:00Z</dcterms:modified>
</cp:coreProperties>
</file>