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63" w:rsidRPr="00F73063" w:rsidRDefault="00B64A21" w:rsidP="005462B5">
      <w:pPr>
        <w:spacing w:after="0"/>
        <w:ind w:left="2880" w:firstLine="720"/>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2182633</wp:posOffset>
                </wp:positionH>
                <wp:positionV relativeFrom="paragraph">
                  <wp:posOffset>-99391</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98F7D" id="Rectangle 1" o:spid="_x0000_s1026" style="position:absolute;margin-left:171.85pt;margin-top:-7.8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FE5FCE">
        <w:rPr>
          <w:rFonts w:asciiTheme="majorHAnsi" w:hAnsiTheme="majorHAnsi"/>
          <w:b/>
          <w:color w:val="EEECE1" w:themeColor="background2"/>
          <w:sz w:val="24"/>
        </w:rPr>
        <w:t xml:space="preserve"> Annual Review</w:t>
      </w:r>
      <w:r w:rsidR="00FE5FCE">
        <w:rPr>
          <w:rFonts w:asciiTheme="majorHAnsi" w:hAnsiTheme="majorHAnsi"/>
          <w:b/>
          <w:color w:val="EEECE1" w:themeColor="background2"/>
          <w:sz w:val="24"/>
        </w:rPr>
        <w:br/>
      </w:r>
      <w:r w:rsidR="00FE5FCE">
        <w:rPr>
          <w:rFonts w:asciiTheme="majorHAnsi" w:hAnsiTheme="majorHAnsi"/>
          <w:b/>
          <w:color w:val="EEECE1" w:themeColor="background2"/>
          <w:sz w:val="24"/>
        </w:rPr>
        <w:tab/>
        <w:t xml:space="preserve">      </w:t>
      </w:r>
      <w:r w:rsidR="004E44A7">
        <w:rPr>
          <w:rFonts w:asciiTheme="majorHAnsi" w:hAnsiTheme="majorHAnsi"/>
          <w:b/>
          <w:color w:val="EEECE1" w:themeColor="background2"/>
          <w:sz w:val="24"/>
        </w:rPr>
        <w:tab/>
      </w:r>
      <w:r w:rsidR="00171D06">
        <w:rPr>
          <w:rFonts w:asciiTheme="majorHAnsi" w:hAnsiTheme="majorHAnsi"/>
          <w:b/>
          <w:color w:val="EEECE1" w:themeColor="background2"/>
          <w:sz w:val="24"/>
        </w:rPr>
        <w:t xml:space="preserve">  </w:t>
      </w:r>
      <w:r w:rsidR="004A058A">
        <w:rPr>
          <w:rFonts w:asciiTheme="majorHAnsi" w:hAnsiTheme="majorHAnsi"/>
          <w:b/>
          <w:color w:val="EEECE1" w:themeColor="background2"/>
          <w:sz w:val="24"/>
        </w:rPr>
        <w:t>Enrollment</w:t>
      </w:r>
      <w:r w:rsidR="004E44A7">
        <w:rPr>
          <w:rFonts w:asciiTheme="majorHAnsi" w:hAnsiTheme="majorHAnsi"/>
          <w:b/>
          <w:color w:val="EEECE1" w:themeColor="background2"/>
          <w:sz w:val="24"/>
        </w:rPr>
        <w:t xml:space="preserve"> Services</w:t>
      </w:r>
    </w:p>
    <w:p w:rsidR="00FF4B57" w:rsidRDefault="00FF4B57" w:rsidP="004E772B">
      <w:pPr>
        <w:tabs>
          <w:tab w:val="center" w:pos="5850"/>
        </w:tabs>
        <w:ind w:left="936"/>
        <w:rPr>
          <w:sz w:val="20"/>
          <w:szCs w:val="20"/>
        </w:rPr>
      </w:pPr>
    </w:p>
    <w:p w:rsidR="006D1CE7" w:rsidRPr="007E1243" w:rsidRDefault="004E772B" w:rsidP="004E772B">
      <w:pPr>
        <w:tabs>
          <w:tab w:val="center" w:pos="5850"/>
        </w:tabs>
        <w:ind w:left="936"/>
        <w:rPr>
          <w:sz w:val="20"/>
          <w:szCs w:val="20"/>
        </w:rPr>
      </w:pPr>
      <w:r w:rsidRPr="00CF0133">
        <w:rPr>
          <w:sz w:val="20"/>
          <w:szCs w:val="20"/>
        </w:rPr>
        <w:t xml:space="preserve">This document addresses the following SACSCOC requirements: CR 2.5, CS 3.3.1, and CS 3.5.1, CR 3.9.2, CR 3.13.3, and </w:t>
      </w:r>
      <w:r w:rsidRPr="00CF0133">
        <w:rPr>
          <w:sz w:val="20"/>
          <w:szCs w:val="20"/>
        </w:rPr>
        <w:br/>
        <w:t>FR 4.5</w:t>
      </w:r>
    </w:p>
    <w:p w:rsidR="00CB6DC4" w:rsidRPr="00CB6DC4" w:rsidRDefault="00CB6DC4" w:rsidP="004E772B">
      <w:pPr>
        <w:pStyle w:val="IntenseQuote"/>
        <w:spacing w:after="0"/>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AF7301">
      <w:pPr>
        <w:pStyle w:val="IntenseQuote"/>
        <w:spacing w:after="0"/>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2978D9" w:rsidRDefault="00C32970" w:rsidP="009D427F">
            <w:pPr>
              <w:pStyle w:val="ListParagraph"/>
              <w:ind w:left="0"/>
              <w:rPr>
                <w:rFonts w:ascii="Arial" w:hAnsi="Arial" w:cs="Arial"/>
                <w:color w:val="4F81BD" w:themeColor="accent1"/>
                <w:sz w:val="20"/>
                <w:szCs w:val="20"/>
              </w:rPr>
            </w:pPr>
            <w:r w:rsidRPr="002978D9">
              <w:rPr>
                <w:rFonts w:ascii="Arial" w:hAnsi="Arial" w:cs="Arial"/>
                <w:color w:val="4F81BD" w:themeColor="accent1"/>
                <w:sz w:val="20"/>
                <w:szCs w:val="20"/>
              </w:rPr>
              <w:t>Enrollment Services</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C32970" w:rsidRPr="002978D9" w:rsidRDefault="00C32970" w:rsidP="00C32970">
            <w:pPr>
              <w:rPr>
                <w:rFonts w:ascii="Arial" w:hAnsi="Arial" w:cs="Arial"/>
                <w:color w:val="1F497D" w:themeColor="text2"/>
                <w:sz w:val="20"/>
                <w:szCs w:val="20"/>
              </w:rPr>
            </w:pPr>
            <w:r w:rsidRPr="002978D9">
              <w:rPr>
                <w:rFonts w:ascii="Arial" w:hAnsi="Arial" w:cs="Arial"/>
                <w:color w:val="1F497D" w:themeColor="text2"/>
                <w:sz w:val="20"/>
                <w:szCs w:val="20"/>
              </w:rPr>
              <w:t>The mission of the Enrollment Services Department is:</w:t>
            </w:r>
          </w:p>
          <w:p w:rsidR="00C32970" w:rsidRPr="002978D9" w:rsidRDefault="00C32970" w:rsidP="00C32970">
            <w:pPr>
              <w:pStyle w:val="ListParagraph"/>
              <w:numPr>
                <w:ilvl w:val="0"/>
                <w:numId w:val="38"/>
              </w:numPr>
              <w:rPr>
                <w:rFonts w:ascii="Arial" w:hAnsi="Arial" w:cs="Arial"/>
                <w:color w:val="1F497D" w:themeColor="text2"/>
                <w:sz w:val="20"/>
                <w:szCs w:val="20"/>
              </w:rPr>
            </w:pPr>
            <w:r w:rsidRPr="002978D9">
              <w:rPr>
                <w:rFonts w:ascii="Arial" w:hAnsi="Arial" w:cs="Arial"/>
                <w:color w:val="1F497D" w:themeColor="text2"/>
                <w:sz w:val="20"/>
                <w:szCs w:val="20"/>
              </w:rPr>
              <w:t>to support the academic mission and purpose of the College;</w:t>
            </w:r>
          </w:p>
          <w:p w:rsidR="00C32970" w:rsidRPr="002978D9" w:rsidRDefault="00C32970" w:rsidP="00C32970">
            <w:pPr>
              <w:pStyle w:val="ListParagraph"/>
              <w:numPr>
                <w:ilvl w:val="0"/>
                <w:numId w:val="38"/>
              </w:numPr>
              <w:rPr>
                <w:rFonts w:ascii="Arial" w:hAnsi="Arial" w:cs="Arial"/>
                <w:color w:val="1F497D" w:themeColor="text2"/>
                <w:sz w:val="20"/>
                <w:szCs w:val="20"/>
              </w:rPr>
            </w:pPr>
            <w:r w:rsidRPr="002978D9">
              <w:rPr>
                <w:rFonts w:ascii="Arial" w:hAnsi="Arial" w:cs="Arial"/>
                <w:color w:val="1F497D" w:themeColor="text2"/>
                <w:sz w:val="20"/>
                <w:szCs w:val="20"/>
              </w:rPr>
              <w:t>to provide information and academic services to the College community in an efficient, user-friendly manner while ensuring accuracy, integrity, and confidentiality of academic records;</w:t>
            </w:r>
          </w:p>
          <w:p w:rsidR="00C32970" w:rsidRPr="002978D9" w:rsidRDefault="00C32970" w:rsidP="00C32970">
            <w:pPr>
              <w:pStyle w:val="ListParagraph"/>
              <w:numPr>
                <w:ilvl w:val="0"/>
                <w:numId w:val="38"/>
              </w:numPr>
              <w:rPr>
                <w:rFonts w:ascii="Arial" w:hAnsi="Arial" w:cs="Arial"/>
                <w:color w:val="1F497D" w:themeColor="text2"/>
                <w:sz w:val="20"/>
                <w:szCs w:val="20"/>
              </w:rPr>
            </w:pPr>
            <w:r w:rsidRPr="002978D9">
              <w:rPr>
                <w:rFonts w:ascii="Arial" w:hAnsi="Arial" w:cs="Arial"/>
                <w:color w:val="1F497D" w:themeColor="text2"/>
                <w:sz w:val="20"/>
                <w:szCs w:val="20"/>
              </w:rPr>
              <w:t>to provide exemplary service by continually improving our business processes for prospecting, admission, registration, scheduling, academic records, degree audit, and related functions;</w:t>
            </w:r>
          </w:p>
          <w:p w:rsidR="00C32970" w:rsidRPr="002978D9" w:rsidRDefault="00C32970" w:rsidP="00C32970">
            <w:pPr>
              <w:pStyle w:val="ListParagraph"/>
              <w:numPr>
                <w:ilvl w:val="0"/>
                <w:numId w:val="38"/>
              </w:numPr>
              <w:rPr>
                <w:rFonts w:ascii="Arial" w:hAnsi="Arial" w:cs="Arial"/>
                <w:color w:val="4F81BD" w:themeColor="accent1"/>
                <w:sz w:val="20"/>
                <w:szCs w:val="20"/>
              </w:rPr>
            </w:pPr>
            <w:r w:rsidRPr="002978D9">
              <w:rPr>
                <w:rFonts w:ascii="Arial" w:hAnsi="Arial" w:cs="Arial"/>
                <w:color w:val="1F497D" w:themeColor="text2"/>
                <w:sz w:val="20"/>
                <w:szCs w:val="20"/>
              </w:rPr>
              <w:t>to effectively communicate procedures and responsibilities for the successful use of our services; and</w:t>
            </w:r>
          </w:p>
          <w:p w:rsidR="00614426" w:rsidRPr="004D3599" w:rsidRDefault="00C32970" w:rsidP="00C32970">
            <w:pPr>
              <w:pStyle w:val="ListParagraph"/>
              <w:numPr>
                <w:ilvl w:val="0"/>
                <w:numId w:val="38"/>
              </w:numPr>
              <w:rPr>
                <w:rFonts w:ascii="Franklin Gothic Book" w:hAnsi="Franklin Gothic Book"/>
                <w:color w:val="4F81BD" w:themeColor="accent1"/>
              </w:rPr>
            </w:pPr>
            <w:proofErr w:type="gramStart"/>
            <w:r w:rsidRPr="002978D9">
              <w:rPr>
                <w:rFonts w:ascii="Arial" w:hAnsi="Arial" w:cs="Arial"/>
                <w:color w:val="1F497D" w:themeColor="text2"/>
                <w:sz w:val="20"/>
                <w:szCs w:val="20"/>
              </w:rPr>
              <w:lastRenderedPageBreak/>
              <w:t>to</w:t>
            </w:r>
            <w:proofErr w:type="gramEnd"/>
            <w:r w:rsidRPr="002978D9">
              <w:rPr>
                <w:rFonts w:ascii="Arial" w:hAnsi="Arial" w:cs="Arial"/>
                <w:color w:val="1F497D" w:themeColor="text2"/>
                <w:sz w:val="20"/>
                <w:szCs w:val="20"/>
              </w:rPr>
              <w:t xml:space="preserve"> adhere to policies and model the highest standards of the enrollment services profession.</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2978D9" w:rsidRDefault="00801A86" w:rsidP="009D427F">
            <w:pPr>
              <w:pStyle w:val="ListParagraph"/>
              <w:ind w:left="0"/>
              <w:rPr>
                <w:rFonts w:ascii="Arial" w:hAnsi="Arial" w:cs="Arial"/>
                <w:color w:val="4F81BD" w:themeColor="accent1"/>
                <w:sz w:val="20"/>
                <w:szCs w:val="20"/>
              </w:rPr>
            </w:pPr>
            <w:r w:rsidRPr="002978D9">
              <w:rPr>
                <w:rFonts w:ascii="Arial" w:hAnsi="Arial" w:cs="Arial"/>
                <w:color w:val="4F81BD" w:themeColor="accent1"/>
                <w:sz w:val="20"/>
                <w:szCs w:val="20"/>
              </w:rPr>
              <w:t>2014-2015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2978D9" w:rsidRDefault="00312BB6" w:rsidP="009D427F">
            <w:pPr>
              <w:pStyle w:val="ListParagraph"/>
              <w:ind w:left="0"/>
              <w:rPr>
                <w:rFonts w:ascii="Arial" w:hAnsi="Arial" w:cs="Arial"/>
                <w:color w:val="4F81BD" w:themeColor="accent1"/>
                <w:sz w:val="20"/>
                <w:szCs w:val="20"/>
              </w:rPr>
            </w:pPr>
            <w:r w:rsidRPr="002978D9">
              <w:rPr>
                <w:rFonts w:ascii="Arial" w:hAnsi="Arial" w:cs="Arial"/>
                <w:color w:val="4F81BD" w:themeColor="accent1"/>
                <w:sz w:val="20"/>
                <w:szCs w:val="20"/>
              </w:rPr>
              <w:t>Wednesday, September 30, 2015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RPr="002978D9" w:rsidTr="009D427F">
        <w:tc>
          <w:tcPr>
            <w:tcW w:w="8640" w:type="dxa"/>
          </w:tcPr>
          <w:p w:rsidR="00770313" w:rsidRPr="002978D9" w:rsidRDefault="00770313" w:rsidP="009D427F">
            <w:pPr>
              <w:pStyle w:val="ListParagraph"/>
              <w:ind w:left="0"/>
              <w:rPr>
                <w:rFonts w:ascii="Arial" w:hAnsi="Arial" w:cs="Arial"/>
                <w:color w:val="4F81BD" w:themeColor="accent1"/>
                <w:sz w:val="20"/>
                <w:szCs w:val="20"/>
              </w:rPr>
            </w:pPr>
            <w:r w:rsidRPr="002978D9">
              <w:rPr>
                <w:rFonts w:ascii="Arial" w:hAnsi="Arial" w:cs="Arial"/>
                <w:color w:val="4F81BD" w:themeColor="accent1"/>
                <w:sz w:val="20"/>
                <w:szCs w:val="20"/>
                <w:u w:val="single"/>
              </w:rPr>
              <w:t>Name</w:t>
            </w:r>
            <w:r w:rsidRPr="002978D9">
              <w:rPr>
                <w:rFonts w:ascii="Arial" w:hAnsi="Arial" w:cs="Arial"/>
                <w:color w:val="4F81BD" w:themeColor="accent1"/>
                <w:sz w:val="20"/>
                <w:szCs w:val="20"/>
              </w:rPr>
              <w:t>:</w:t>
            </w:r>
            <w:r w:rsidR="00801A86" w:rsidRPr="002978D9">
              <w:rPr>
                <w:rFonts w:ascii="Arial" w:hAnsi="Arial" w:cs="Arial"/>
                <w:color w:val="4F81BD" w:themeColor="accent1"/>
                <w:sz w:val="20"/>
                <w:szCs w:val="20"/>
              </w:rPr>
              <w:t xml:space="preserve">  </w:t>
            </w:r>
            <w:r w:rsidR="00312BB6" w:rsidRPr="002978D9">
              <w:rPr>
                <w:rFonts w:ascii="Arial" w:hAnsi="Arial" w:cs="Arial"/>
                <w:color w:val="4F81BD" w:themeColor="accent1"/>
                <w:sz w:val="20"/>
                <w:szCs w:val="20"/>
              </w:rPr>
              <w:t>Diane Brice</w:t>
            </w:r>
          </w:p>
          <w:p w:rsidR="00312BB6" w:rsidRPr="002978D9" w:rsidRDefault="00770313" w:rsidP="009D427F">
            <w:pPr>
              <w:pStyle w:val="ListParagraph"/>
              <w:ind w:left="0"/>
              <w:rPr>
                <w:rFonts w:ascii="Arial" w:hAnsi="Arial" w:cs="Arial"/>
                <w:color w:val="4F81BD" w:themeColor="accent1"/>
                <w:sz w:val="20"/>
                <w:szCs w:val="20"/>
              </w:rPr>
            </w:pPr>
            <w:r w:rsidRPr="002978D9">
              <w:rPr>
                <w:rFonts w:ascii="Arial" w:hAnsi="Arial" w:cs="Arial"/>
                <w:color w:val="4F81BD" w:themeColor="accent1"/>
                <w:sz w:val="20"/>
                <w:szCs w:val="20"/>
                <w:u w:val="single"/>
              </w:rPr>
              <w:t>Title</w:t>
            </w:r>
            <w:r w:rsidRPr="002978D9">
              <w:rPr>
                <w:rFonts w:ascii="Arial" w:hAnsi="Arial" w:cs="Arial"/>
                <w:color w:val="4F81BD" w:themeColor="accent1"/>
                <w:sz w:val="20"/>
                <w:szCs w:val="20"/>
              </w:rPr>
              <w:t>:</w:t>
            </w:r>
            <w:r w:rsidR="00801A86" w:rsidRPr="002978D9">
              <w:rPr>
                <w:rFonts w:ascii="Arial" w:hAnsi="Arial" w:cs="Arial"/>
                <w:color w:val="4F81BD" w:themeColor="accent1"/>
                <w:sz w:val="20"/>
                <w:szCs w:val="20"/>
              </w:rPr>
              <w:t xml:space="preserve">  Director of </w:t>
            </w:r>
            <w:r w:rsidR="00312BB6" w:rsidRPr="002978D9">
              <w:rPr>
                <w:rFonts w:ascii="Arial" w:hAnsi="Arial" w:cs="Arial"/>
                <w:color w:val="4F81BD" w:themeColor="accent1"/>
                <w:sz w:val="20"/>
                <w:szCs w:val="20"/>
              </w:rPr>
              <w:t>Enrollment Services/Registrar</w:t>
            </w:r>
          </w:p>
          <w:p w:rsidR="00770313" w:rsidRPr="002978D9" w:rsidRDefault="00770313" w:rsidP="009D427F">
            <w:pPr>
              <w:pStyle w:val="ListParagraph"/>
              <w:ind w:left="0"/>
              <w:rPr>
                <w:rFonts w:ascii="Arial" w:hAnsi="Arial" w:cs="Arial"/>
                <w:color w:val="4F81BD" w:themeColor="accent1"/>
                <w:sz w:val="20"/>
                <w:szCs w:val="20"/>
                <w:u w:val="single"/>
              </w:rPr>
            </w:pPr>
            <w:r w:rsidRPr="002978D9">
              <w:rPr>
                <w:rFonts w:ascii="Arial" w:hAnsi="Arial" w:cs="Arial"/>
                <w:color w:val="4F81BD" w:themeColor="accent1"/>
                <w:sz w:val="20"/>
                <w:szCs w:val="20"/>
                <w:u w:val="single"/>
              </w:rPr>
              <w:t>E-mail</w:t>
            </w:r>
            <w:r w:rsidRPr="002978D9">
              <w:rPr>
                <w:rFonts w:ascii="Arial" w:hAnsi="Arial" w:cs="Arial"/>
                <w:color w:val="4F81BD" w:themeColor="accent1"/>
                <w:sz w:val="20"/>
                <w:szCs w:val="20"/>
              </w:rPr>
              <w:t>:</w:t>
            </w:r>
            <w:r w:rsidR="00801A86" w:rsidRPr="002978D9">
              <w:rPr>
                <w:rFonts w:ascii="Arial" w:hAnsi="Arial" w:cs="Arial"/>
                <w:color w:val="4F81BD" w:themeColor="accent1"/>
                <w:sz w:val="20"/>
                <w:szCs w:val="20"/>
              </w:rPr>
              <w:t xml:space="preserve">  </w:t>
            </w:r>
            <w:r w:rsidR="00312BB6" w:rsidRPr="002978D9">
              <w:rPr>
                <w:rFonts w:ascii="Arial" w:hAnsi="Arial" w:cs="Arial"/>
                <w:color w:val="4F81BD" w:themeColor="accent1"/>
                <w:sz w:val="20"/>
                <w:szCs w:val="20"/>
              </w:rPr>
              <w:t>kdbrice@actx.edu</w:t>
            </w:r>
          </w:p>
          <w:p w:rsidR="00770313" w:rsidRPr="002978D9" w:rsidRDefault="00770313" w:rsidP="00312BB6">
            <w:pPr>
              <w:pStyle w:val="ListParagraph"/>
              <w:ind w:left="0"/>
              <w:rPr>
                <w:rFonts w:ascii="Arial" w:hAnsi="Arial" w:cs="Arial"/>
                <w:color w:val="4F81BD" w:themeColor="accent1"/>
                <w:sz w:val="20"/>
                <w:szCs w:val="20"/>
                <w:u w:val="single"/>
              </w:rPr>
            </w:pPr>
            <w:r w:rsidRPr="002978D9">
              <w:rPr>
                <w:rFonts w:ascii="Arial" w:hAnsi="Arial" w:cs="Arial"/>
                <w:color w:val="4F81BD" w:themeColor="accent1"/>
                <w:sz w:val="20"/>
                <w:szCs w:val="20"/>
                <w:u w:val="single"/>
              </w:rPr>
              <w:t>Phone Number</w:t>
            </w:r>
            <w:r w:rsidRPr="002978D9">
              <w:rPr>
                <w:rFonts w:ascii="Arial" w:hAnsi="Arial" w:cs="Arial"/>
                <w:color w:val="4F81BD" w:themeColor="accent1"/>
                <w:sz w:val="20"/>
                <w:szCs w:val="20"/>
              </w:rPr>
              <w:t>:</w:t>
            </w:r>
            <w:r w:rsidR="00801A86" w:rsidRPr="002978D9">
              <w:rPr>
                <w:rFonts w:ascii="Arial" w:hAnsi="Arial" w:cs="Arial"/>
                <w:color w:val="4F81BD" w:themeColor="accent1"/>
                <w:sz w:val="20"/>
                <w:szCs w:val="20"/>
              </w:rPr>
              <w:t xml:space="preserve">  806.371.</w:t>
            </w:r>
            <w:r w:rsidR="00312BB6" w:rsidRPr="002978D9">
              <w:rPr>
                <w:rFonts w:ascii="Arial" w:hAnsi="Arial" w:cs="Arial"/>
                <w:color w:val="4F81BD" w:themeColor="accent1"/>
                <w:sz w:val="20"/>
                <w:szCs w:val="20"/>
              </w:rPr>
              <w:t>5028</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2978D9" w:rsidRDefault="00F57C25" w:rsidP="009D427F">
            <w:pPr>
              <w:pStyle w:val="ListParagraph"/>
              <w:ind w:left="0"/>
              <w:rPr>
                <w:rFonts w:ascii="Arial" w:hAnsi="Arial" w:cs="Arial"/>
                <w:color w:val="4F81BD" w:themeColor="accent1"/>
                <w:sz w:val="20"/>
                <w:szCs w:val="20"/>
              </w:rPr>
            </w:pPr>
            <w:r>
              <w:rPr>
                <w:rFonts w:ascii="Arial" w:hAnsi="Arial" w:cs="Arial"/>
                <w:color w:val="4F81BD" w:themeColor="accent1"/>
                <w:sz w:val="20"/>
                <w:szCs w:val="20"/>
              </w:rPr>
              <w:t>Tina Babb, Associate Registrar</w:t>
            </w:r>
          </w:p>
        </w:tc>
      </w:tr>
    </w:tbl>
    <w:p w:rsidR="00D42D3F" w:rsidRPr="00CB6DC4" w:rsidRDefault="00D42D3F" w:rsidP="0009106E">
      <w:pPr>
        <w:pStyle w:val="ListParagraph"/>
        <w:ind w:left="2070"/>
        <w:rPr>
          <w:b/>
          <w:bCs/>
          <w:i/>
          <w:iCs/>
          <w:color w:val="4F81BD" w:themeColor="accent1"/>
          <w:sz w:val="24"/>
        </w:rPr>
      </w:pPr>
    </w:p>
    <w:p w:rsidR="00281B68" w:rsidRPr="00213F55" w:rsidRDefault="00281B68" w:rsidP="00AF7301">
      <w:pPr>
        <w:pStyle w:val="IntenseQuote"/>
        <w:spacing w:after="0"/>
        <w:rPr>
          <w:sz w:val="24"/>
        </w:rPr>
      </w:pPr>
      <w:r w:rsidRPr="00213F55">
        <w:rPr>
          <w:sz w:val="24"/>
        </w:rPr>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2978D9" w:rsidRPr="00550262" w:rsidRDefault="002978D9" w:rsidP="009D427F">
            <w:pPr>
              <w:pStyle w:val="ListParagraph"/>
              <w:ind w:left="0"/>
              <w:rPr>
                <w:rFonts w:ascii="Arial" w:hAnsi="Arial" w:cs="Arial"/>
                <w:color w:val="4F81BD" w:themeColor="accent1"/>
                <w:sz w:val="20"/>
                <w:szCs w:val="20"/>
              </w:rPr>
            </w:pPr>
            <w:r w:rsidRPr="00550262">
              <w:rPr>
                <w:rFonts w:ascii="Arial" w:hAnsi="Arial" w:cs="Arial"/>
                <w:color w:val="4F81BD" w:themeColor="accent1"/>
                <w:sz w:val="20"/>
                <w:szCs w:val="20"/>
              </w:rPr>
              <w:t>D</w:t>
            </w:r>
            <w:r w:rsidR="00801A86" w:rsidRPr="00550262">
              <w:rPr>
                <w:rFonts w:ascii="Arial" w:hAnsi="Arial" w:cs="Arial"/>
                <w:color w:val="4F81BD" w:themeColor="accent1"/>
                <w:sz w:val="20"/>
                <w:szCs w:val="20"/>
              </w:rPr>
              <w:t xml:space="preserve">ata on </w:t>
            </w:r>
            <w:r w:rsidRPr="00550262">
              <w:rPr>
                <w:rFonts w:ascii="Arial" w:hAnsi="Arial" w:cs="Arial"/>
                <w:color w:val="4F81BD" w:themeColor="accent1"/>
                <w:sz w:val="20"/>
                <w:szCs w:val="20"/>
              </w:rPr>
              <w:t>services provided to the college and its community including:</w:t>
            </w:r>
          </w:p>
          <w:p w:rsidR="002978D9" w:rsidRPr="00550262" w:rsidRDefault="002978D9" w:rsidP="002978D9">
            <w:pPr>
              <w:pStyle w:val="ListParagraph"/>
              <w:numPr>
                <w:ilvl w:val="0"/>
                <w:numId w:val="39"/>
              </w:numPr>
              <w:rPr>
                <w:rFonts w:ascii="Arial" w:hAnsi="Arial" w:cs="Arial"/>
                <w:color w:val="4F81BD" w:themeColor="accent1"/>
                <w:sz w:val="20"/>
                <w:szCs w:val="20"/>
              </w:rPr>
            </w:pPr>
            <w:r w:rsidRPr="00550262">
              <w:rPr>
                <w:rFonts w:ascii="Arial" w:hAnsi="Arial" w:cs="Arial"/>
                <w:color w:val="4F81BD" w:themeColor="accent1"/>
                <w:sz w:val="20"/>
                <w:szCs w:val="20"/>
              </w:rPr>
              <w:t>phone calls</w:t>
            </w:r>
          </w:p>
          <w:p w:rsidR="002978D9" w:rsidRPr="00550262" w:rsidRDefault="00801A86" w:rsidP="002978D9">
            <w:pPr>
              <w:pStyle w:val="ListParagraph"/>
              <w:numPr>
                <w:ilvl w:val="0"/>
                <w:numId w:val="39"/>
              </w:numPr>
              <w:rPr>
                <w:rFonts w:ascii="Arial" w:hAnsi="Arial" w:cs="Arial"/>
                <w:color w:val="4F81BD" w:themeColor="accent1"/>
                <w:sz w:val="20"/>
                <w:szCs w:val="20"/>
              </w:rPr>
            </w:pPr>
            <w:r w:rsidRPr="00550262">
              <w:rPr>
                <w:rFonts w:ascii="Arial" w:hAnsi="Arial" w:cs="Arial"/>
                <w:color w:val="4F81BD" w:themeColor="accent1"/>
                <w:sz w:val="20"/>
                <w:szCs w:val="20"/>
              </w:rPr>
              <w:t xml:space="preserve">types of calls </w:t>
            </w:r>
          </w:p>
          <w:p w:rsidR="002978D9" w:rsidRPr="00550262" w:rsidRDefault="00801A86" w:rsidP="002978D9">
            <w:pPr>
              <w:pStyle w:val="ListParagraph"/>
              <w:numPr>
                <w:ilvl w:val="0"/>
                <w:numId w:val="39"/>
              </w:numPr>
              <w:rPr>
                <w:rFonts w:ascii="Arial" w:hAnsi="Arial" w:cs="Arial"/>
                <w:color w:val="4F81BD" w:themeColor="accent1"/>
                <w:sz w:val="20"/>
                <w:szCs w:val="20"/>
              </w:rPr>
            </w:pPr>
            <w:r w:rsidRPr="00550262">
              <w:rPr>
                <w:rFonts w:ascii="Arial" w:hAnsi="Arial" w:cs="Arial"/>
                <w:color w:val="4F81BD" w:themeColor="accent1"/>
                <w:sz w:val="20"/>
                <w:szCs w:val="20"/>
              </w:rPr>
              <w:t>in person traffic</w:t>
            </w:r>
          </w:p>
          <w:p w:rsidR="002978D9" w:rsidRPr="00550262" w:rsidRDefault="00801A86" w:rsidP="002978D9">
            <w:pPr>
              <w:pStyle w:val="ListParagraph"/>
              <w:numPr>
                <w:ilvl w:val="0"/>
                <w:numId w:val="39"/>
              </w:numPr>
              <w:rPr>
                <w:rFonts w:ascii="Arial" w:hAnsi="Arial" w:cs="Arial"/>
                <w:color w:val="4F81BD" w:themeColor="accent1"/>
                <w:sz w:val="20"/>
                <w:szCs w:val="20"/>
              </w:rPr>
            </w:pPr>
            <w:r w:rsidRPr="00550262">
              <w:rPr>
                <w:rFonts w:ascii="Arial" w:hAnsi="Arial" w:cs="Arial"/>
                <w:color w:val="4F81BD" w:themeColor="accent1"/>
                <w:sz w:val="20"/>
                <w:szCs w:val="20"/>
              </w:rPr>
              <w:t>number of applications processe</w:t>
            </w:r>
            <w:r w:rsidR="002978D9" w:rsidRPr="00550262">
              <w:rPr>
                <w:rFonts w:ascii="Arial" w:hAnsi="Arial" w:cs="Arial"/>
                <w:color w:val="4F81BD" w:themeColor="accent1"/>
                <w:sz w:val="20"/>
                <w:szCs w:val="20"/>
              </w:rPr>
              <w:t>d</w:t>
            </w:r>
            <w:r w:rsidRPr="00550262">
              <w:rPr>
                <w:rFonts w:ascii="Arial" w:hAnsi="Arial" w:cs="Arial"/>
                <w:color w:val="4F81BD" w:themeColor="accent1"/>
                <w:sz w:val="20"/>
                <w:szCs w:val="20"/>
              </w:rPr>
              <w:t xml:space="preserve"> on a daily, weekly, monthly and yearly basis</w:t>
            </w:r>
          </w:p>
          <w:p w:rsidR="002978D9" w:rsidRPr="00550262" w:rsidRDefault="002978D9" w:rsidP="002978D9">
            <w:pPr>
              <w:pStyle w:val="ListParagraph"/>
              <w:ind w:left="0"/>
              <w:rPr>
                <w:rFonts w:ascii="Arial" w:hAnsi="Arial" w:cs="Arial"/>
                <w:color w:val="4F81BD" w:themeColor="accent1"/>
                <w:sz w:val="20"/>
                <w:szCs w:val="20"/>
              </w:rPr>
            </w:pPr>
            <w:r w:rsidRPr="00550262">
              <w:rPr>
                <w:rFonts w:ascii="Arial" w:hAnsi="Arial" w:cs="Arial"/>
                <w:color w:val="4F81BD" w:themeColor="accent1"/>
                <w:sz w:val="20"/>
                <w:szCs w:val="20"/>
              </w:rPr>
              <w:t>CBM reporting:</w:t>
            </w:r>
            <w:r w:rsidR="00A33813" w:rsidRPr="00550262">
              <w:rPr>
                <w:rFonts w:ascii="Arial" w:hAnsi="Arial" w:cs="Arial"/>
                <w:color w:val="4F81BD" w:themeColor="accent1"/>
                <w:sz w:val="20"/>
                <w:szCs w:val="20"/>
              </w:rPr>
              <w:t xml:space="preserve">  (</w:t>
            </w:r>
            <w:hyperlink r:id="rId8" w:history="1">
              <w:r w:rsidR="00A33813" w:rsidRPr="00550262">
                <w:rPr>
                  <w:rStyle w:val="Hyperlink"/>
                  <w:rFonts w:ascii="Arial" w:hAnsi="Arial" w:cs="Arial"/>
                  <w:color w:val="4F81BD" w:themeColor="accent1"/>
                  <w:sz w:val="20"/>
                  <w:szCs w:val="20"/>
                </w:rPr>
                <w:t>http://reports.thecb.state.tx.us/approot/thecbrw/cbm_reporting_ext.htm</w:t>
              </w:r>
            </w:hyperlink>
            <w:r w:rsidR="00A33813" w:rsidRPr="00550262">
              <w:rPr>
                <w:rFonts w:ascii="Arial" w:hAnsi="Arial" w:cs="Arial"/>
                <w:color w:val="4F81BD" w:themeColor="accent1"/>
                <w:sz w:val="20"/>
                <w:szCs w:val="20"/>
              </w:rPr>
              <w:t xml:space="preserve"> )</w:t>
            </w:r>
          </w:p>
          <w:p w:rsidR="002978D9" w:rsidRPr="00550262" w:rsidRDefault="002978D9" w:rsidP="002978D9">
            <w:pPr>
              <w:pStyle w:val="ListParagraph"/>
              <w:numPr>
                <w:ilvl w:val="0"/>
                <w:numId w:val="40"/>
              </w:numPr>
              <w:autoSpaceDE w:val="0"/>
              <w:autoSpaceDN w:val="0"/>
              <w:adjustRightInd w:val="0"/>
              <w:rPr>
                <w:rFonts w:ascii="Arial" w:hAnsi="Arial" w:cs="Arial"/>
                <w:color w:val="4F81BD" w:themeColor="accent1"/>
                <w:sz w:val="20"/>
                <w:szCs w:val="20"/>
              </w:rPr>
            </w:pPr>
            <w:r w:rsidRPr="00550262">
              <w:rPr>
                <w:rFonts w:ascii="Arial" w:hAnsi="Arial" w:cs="Arial"/>
                <w:color w:val="4F81BD" w:themeColor="accent1"/>
                <w:sz w:val="20"/>
                <w:szCs w:val="20"/>
              </w:rPr>
              <w:t>Student Report (CBM001) -- reflects all students enrolled at the reporting institution in undergraduate courses as of the official census date for each course.</w:t>
            </w:r>
          </w:p>
          <w:p w:rsidR="002978D9" w:rsidRPr="00550262" w:rsidRDefault="002978D9" w:rsidP="002978D9">
            <w:pPr>
              <w:pStyle w:val="ListParagraph"/>
              <w:numPr>
                <w:ilvl w:val="0"/>
                <w:numId w:val="40"/>
              </w:numPr>
              <w:autoSpaceDE w:val="0"/>
              <w:autoSpaceDN w:val="0"/>
              <w:adjustRightInd w:val="0"/>
              <w:rPr>
                <w:rFonts w:ascii="Arial" w:hAnsi="Arial" w:cs="Arial"/>
                <w:color w:val="4F81BD" w:themeColor="accent1"/>
                <w:sz w:val="20"/>
                <w:szCs w:val="20"/>
              </w:rPr>
            </w:pPr>
            <w:r w:rsidRPr="00550262">
              <w:rPr>
                <w:rFonts w:ascii="Arial" w:hAnsi="Arial" w:cs="Arial"/>
                <w:color w:val="4F81BD" w:themeColor="accent1"/>
                <w:sz w:val="20"/>
                <w:szCs w:val="20"/>
              </w:rPr>
              <w:lastRenderedPageBreak/>
              <w:t>Texas Success Initiative Report (CBM002</w:t>
            </w:r>
            <w:r w:rsidR="00D76B2E" w:rsidRPr="00550262">
              <w:rPr>
                <w:rFonts w:ascii="Arial" w:hAnsi="Arial" w:cs="Arial"/>
                <w:color w:val="4F81BD" w:themeColor="accent1"/>
                <w:sz w:val="20"/>
                <w:szCs w:val="20"/>
              </w:rPr>
              <w:t>) -- Information</w:t>
            </w:r>
            <w:r w:rsidRPr="00550262">
              <w:rPr>
                <w:rFonts w:ascii="Arial" w:hAnsi="Arial" w:cs="Arial"/>
                <w:color w:val="4F81BD" w:themeColor="accent1"/>
                <w:sz w:val="20"/>
                <w:szCs w:val="20"/>
              </w:rPr>
              <w:t xml:space="preserve"> about student readiness to be successful in freshman-level academic coursework as defined by the Texas Success Initiative (TSI) statute and affiliated rules.</w:t>
            </w:r>
          </w:p>
          <w:p w:rsidR="002978D9" w:rsidRPr="00550262" w:rsidRDefault="002978D9" w:rsidP="002978D9">
            <w:pPr>
              <w:pStyle w:val="ListParagraph"/>
              <w:numPr>
                <w:ilvl w:val="0"/>
                <w:numId w:val="40"/>
              </w:numPr>
              <w:autoSpaceDE w:val="0"/>
              <w:autoSpaceDN w:val="0"/>
              <w:adjustRightInd w:val="0"/>
              <w:rPr>
                <w:rFonts w:ascii="Arial" w:hAnsi="Arial" w:cs="Arial"/>
                <w:color w:val="4F81BD" w:themeColor="accent1"/>
              </w:rPr>
            </w:pPr>
            <w:r w:rsidRPr="00550262">
              <w:rPr>
                <w:rFonts w:ascii="Arial" w:hAnsi="Arial" w:cs="Arial"/>
                <w:color w:val="4F81BD" w:themeColor="accent1"/>
                <w:sz w:val="20"/>
                <w:szCs w:val="20"/>
              </w:rPr>
              <w:t>Class Report (CBM004) -- report of class enrollments for all students enrolled in Coordinating Board approved academic and technical courses (for which semester credit hours are awarded.</w:t>
            </w:r>
          </w:p>
          <w:p w:rsidR="002978D9" w:rsidRPr="00550262" w:rsidRDefault="002978D9" w:rsidP="002978D9">
            <w:pPr>
              <w:pStyle w:val="ListParagraph"/>
              <w:numPr>
                <w:ilvl w:val="0"/>
                <w:numId w:val="40"/>
              </w:numPr>
              <w:autoSpaceDE w:val="0"/>
              <w:autoSpaceDN w:val="0"/>
              <w:adjustRightInd w:val="0"/>
              <w:rPr>
                <w:rFonts w:ascii="Arial" w:hAnsi="Arial" w:cs="Arial"/>
                <w:color w:val="4F81BD" w:themeColor="accent1"/>
                <w:sz w:val="20"/>
                <w:szCs w:val="20"/>
              </w:rPr>
            </w:pPr>
            <w:r w:rsidRPr="00550262">
              <w:rPr>
                <w:rFonts w:ascii="Arial" w:hAnsi="Arial" w:cs="Arial"/>
                <w:color w:val="4F81BD" w:themeColor="accent1"/>
                <w:sz w:val="20"/>
                <w:szCs w:val="20"/>
              </w:rPr>
              <w:t xml:space="preserve">Graduation Report (CBM009) -- report of all degrees and certificates which have been awarded to students in active Coordinating Board-approved programs during the fiscal year. Also included are </w:t>
            </w:r>
            <w:r w:rsidRPr="00550262">
              <w:rPr>
                <w:rFonts w:ascii="Arial" w:hAnsi="Arial" w:cs="Arial"/>
                <w:i/>
                <w:iCs/>
                <w:color w:val="4F81BD" w:themeColor="accent1"/>
                <w:sz w:val="20"/>
                <w:szCs w:val="20"/>
              </w:rPr>
              <w:t xml:space="preserve">progress measures </w:t>
            </w:r>
            <w:r w:rsidRPr="00550262">
              <w:rPr>
                <w:rFonts w:ascii="Arial" w:hAnsi="Arial" w:cs="Arial"/>
                <w:color w:val="4F81BD" w:themeColor="accent1"/>
                <w:sz w:val="20"/>
                <w:szCs w:val="20"/>
              </w:rPr>
              <w:t>of students who have completed the core curriculum and/or approved fields of study.</w:t>
            </w:r>
          </w:p>
          <w:p w:rsidR="00D76B2E" w:rsidRPr="00550262" w:rsidRDefault="002978D9" w:rsidP="00550262">
            <w:pPr>
              <w:pStyle w:val="ListParagraph"/>
              <w:numPr>
                <w:ilvl w:val="0"/>
                <w:numId w:val="40"/>
              </w:numPr>
              <w:autoSpaceDE w:val="0"/>
              <w:autoSpaceDN w:val="0"/>
              <w:adjustRightInd w:val="0"/>
              <w:rPr>
                <w:rFonts w:ascii="Arial" w:hAnsi="Arial" w:cs="Arial"/>
                <w:color w:val="1F497D" w:themeColor="text2"/>
                <w:sz w:val="20"/>
                <w:szCs w:val="20"/>
              </w:rPr>
            </w:pPr>
            <w:r w:rsidRPr="00550262">
              <w:rPr>
                <w:rFonts w:ascii="Arial" w:hAnsi="Arial" w:cs="Arial"/>
                <w:color w:val="4F81BD" w:themeColor="accent1"/>
                <w:sz w:val="20"/>
                <w:szCs w:val="20"/>
              </w:rPr>
              <w:t>Marketable Skills Achievement Report (CBM00M</w:t>
            </w:r>
            <w:r w:rsidR="00D76B2E" w:rsidRPr="00550262">
              <w:rPr>
                <w:rFonts w:ascii="Arial" w:hAnsi="Arial" w:cs="Arial"/>
                <w:color w:val="4F81BD" w:themeColor="accent1"/>
                <w:sz w:val="20"/>
                <w:szCs w:val="20"/>
              </w:rPr>
              <w:t>) --</w:t>
            </w:r>
            <w:r w:rsidRPr="00550262">
              <w:rPr>
                <w:rFonts w:ascii="Arial" w:hAnsi="Arial" w:cs="Arial"/>
                <w:color w:val="4F81BD" w:themeColor="accent1"/>
              </w:rPr>
              <w:t xml:space="preserve"> </w:t>
            </w:r>
            <w:r w:rsidRPr="00550262">
              <w:rPr>
                <w:rFonts w:ascii="Arial" w:hAnsi="Arial" w:cs="Arial"/>
                <w:color w:val="4F81BD" w:themeColor="accent1"/>
                <w:sz w:val="20"/>
                <w:szCs w:val="20"/>
              </w:rPr>
              <w:t>includes awards granted to students in active Coordinating Board-approved programs during the fiscal year. A marketable skills achievement award may be a credit program of 9-14 SCH or a workforce continuing education program of 144-359 contact hours. These awards meet minimum standard for program length specified in the federal Workforce Investment Act (WIA), but are too short to qualify as certificate programs on the Coordinating Board program inventory</w:t>
            </w:r>
            <w:r w:rsidR="00801A86" w:rsidRPr="00550262">
              <w:rPr>
                <w:rFonts w:ascii="Franklin Gothic Book" w:hAnsi="Franklin Gothic Book"/>
                <w:color w:val="4F81BD" w:themeColor="accent1"/>
              </w:rPr>
              <w:t>.</w:t>
            </w: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870"/>
        <w:gridCol w:w="1530"/>
        <w:gridCol w:w="1589"/>
        <w:gridCol w:w="1651"/>
      </w:tblGrid>
      <w:tr w:rsidR="00A350F8" w:rsidTr="00801A86">
        <w:tc>
          <w:tcPr>
            <w:tcW w:w="3870"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530"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801A86">
        <w:tc>
          <w:tcPr>
            <w:tcW w:w="3870" w:type="dxa"/>
          </w:tcPr>
          <w:p w:rsidR="00A350F8" w:rsidRPr="00970BF7" w:rsidRDefault="00C35B42" w:rsidP="00186DF0">
            <w:pPr>
              <w:rPr>
                <w:rFonts w:ascii="Arial" w:hAnsi="Arial" w:cs="Arial"/>
                <w:color w:val="1F497D" w:themeColor="text2"/>
                <w:sz w:val="20"/>
                <w:szCs w:val="20"/>
              </w:rPr>
            </w:pPr>
            <w:r w:rsidRPr="00970BF7">
              <w:rPr>
                <w:rFonts w:ascii="Arial" w:hAnsi="Arial" w:cs="Arial"/>
                <w:color w:val="1F497D" w:themeColor="text2"/>
                <w:sz w:val="20"/>
                <w:szCs w:val="20"/>
              </w:rPr>
              <w:t>1.</w:t>
            </w:r>
            <w:r w:rsidR="00801A86" w:rsidRPr="00970BF7">
              <w:rPr>
                <w:rFonts w:ascii="Arial" w:hAnsi="Arial" w:cs="Arial"/>
                <w:color w:val="1F497D" w:themeColor="text2"/>
                <w:sz w:val="20"/>
                <w:szCs w:val="20"/>
              </w:rPr>
              <w:t xml:space="preserve">  Phone Calls Answered</w:t>
            </w:r>
          </w:p>
        </w:tc>
        <w:tc>
          <w:tcPr>
            <w:tcW w:w="1530"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801A86"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801A86">
        <w:tc>
          <w:tcPr>
            <w:tcW w:w="3870" w:type="dxa"/>
          </w:tcPr>
          <w:p w:rsidR="00A350F8" w:rsidRPr="00970BF7" w:rsidRDefault="00C35B42" w:rsidP="00186DF0">
            <w:pPr>
              <w:rPr>
                <w:rFonts w:ascii="Arial" w:hAnsi="Arial" w:cs="Arial"/>
                <w:color w:val="1F497D" w:themeColor="text2"/>
                <w:sz w:val="20"/>
                <w:szCs w:val="20"/>
              </w:rPr>
            </w:pPr>
            <w:r w:rsidRPr="00970BF7">
              <w:rPr>
                <w:rFonts w:ascii="Arial" w:hAnsi="Arial" w:cs="Arial"/>
                <w:color w:val="1F497D" w:themeColor="text2"/>
                <w:sz w:val="20"/>
                <w:szCs w:val="20"/>
              </w:rPr>
              <w:t>2.</w:t>
            </w:r>
            <w:r w:rsidR="00801A86" w:rsidRPr="00970BF7">
              <w:rPr>
                <w:rFonts w:ascii="Arial" w:hAnsi="Arial" w:cs="Arial"/>
                <w:color w:val="1F497D" w:themeColor="text2"/>
                <w:sz w:val="20"/>
                <w:szCs w:val="20"/>
              </w:rPr>
              <w:t xml:space="preserve">  Chat Contacts Answered</w:t>
            </w:r>
          </w:p>
        </w:tc>
        <w:tc>
          <w:tcPr>
            <w:tcW w:w="1530"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801A86"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801A86">
        <w:tc>
          <w:tcPr>
            <w:tcW w:w="3870" w:type="dxa"/>
          </w:tcPr>
          <w:p w:rsidR="00A350F8" w:rsidRPr="00970BF7" w:rsidRDefault="00C35B42" w:rsidP="00970BF7">
            <w:pPr>
              <w:rPr>
                <w:rFonts w:ascii="Arial" w:hAnsi="Arial" w:cs="Arial"/>
                <w:color w:val="1F497D" w:themeColor="text2"/>
                <w:sz w:val="20"/>
                <w:szCs w:val="20"/>
              </w:rPr>
            </w:pPr>
            <w:r w:rsidRPr="00970BF7">
              <w:rPr>
                <w:rFonts w:ascii="Arial" w:hAnsi="Arial" w:cs="Arial"/>
                <w:color w:val="1F497D" w:themeColor="text2"/>
                <w:sz w:val="20"/>
                <w:szCs w:val="20"/>
              </w:rPr>
              <w:t>3.</w:t>
            </w:r>
            <w:r w:rsidR="00970BF7" w:rsidRPr="00970BF7">
              <w:rPr>
                <w:rFonts w:ascii="Arial" w:hAnsi="Arial" w:cs="Arial"/>
                <w:color w:val="1F497D" w:themeColor="text2"/>
                <w:sz w:val="20"/>
                <w:szCs w:val="20"/>
              </w:rPr>
              <w:t xml:space="preserve">  </w:t>
            </w:r>
            <w:r w:rsidR="00801A86" w:rsidRPr="00970BF7">
              <w:rPr>
                <w:rFonts w:ascii="Arial" w:hAnsi="Arial" w:cs="Arial"/>
                <w:color w:val="1F497D" w:themeColor="text2"/>
                <w:sz w:val="20"/>
                <w:szCs w:val="20"/>
              </w:rPr>
              <w:t>Counter Traffic</w:t>
            </w:r>
          </w:p>
        </w:tc>
        <w:tc>
          <w:tcPr>
            <w:tcW w:w="1530"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801A86"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801A86">
        <w:tc>
          <w:tcPr>
            <w:tcW w:w="3870" w:type="dxa"/>
          </w:tcPr>
          <w:p w:rsidR="00A350F8" w:rsidRPr="00970BF7" w:rsidRDefault="00C35B42" w:rsidP="00970BF7">
            <w:pPr>
              <w:rPr>
                <w:rFonts w:ascii="Arial" w:hAnsi="Arial" w:cs="Arial"/>
                <w:color w:val="1F497D" w:themeColor="text2"/>
                <w:sz w:val="20"/>
                <w:szCs w:val="20"/>
              </w:rPr>
            </w:pPr>
            <w:r w:rsidRPr="00970BF7">
              <w:rPr>
                <w:rFonts w:ascii="Arial" w:hAnsi="Arial" w:cs="Arial"/>
                <w:color w:val="1F497D" w:themeColor="text2"/>
                <w:sz w:val="20"/>
                <w:szCs w:val="20"/>
              </w:rPr>
              <w:t>4.</w:t>
            </w:r>
            <w:r w:rsidR="00801A86" w:rsidRPr="00970BF7">
              <w:rPr>
                <w:rFonts w:ascii="Arial" w:hAnsi="Arial" w:cs="Arial"/>
                <w:color w:val="1F497D" w:themeColor="text2"/>
                <w:sz w:val="20"/>
                <w:szCs w:val="20"/>
              </w:rPr>
              <w:t xml:space="preserve">  </w:t>
            </w:r>
            <w:r w:rsidR="00970BF7" w:rsidRPr="00970BF7">
              <w:rPr>
                <w:rFonts w:ascii="Arial" w:hAnsi="Arial" w:cs="Arial"/>
                <w:color w:val="1F497D" w:themeColor="text2"/>
                <w:sz w:val="20"/>
                <w:szCs w:val="20"/>
              </w:rPr>
              <w:t>Student Report (CBM001)</w:t>
            </w:r>
          </w:p>
        </w:tc>
        <w:tc>
          <w:tcPr>
            <w:tcW w:w="1530"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801A86"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801A86">
        <w:tc>
          <w:tcPr>
            <w:tcW w:w="3870" w:type="dxa"/>
          </w:tcPr>
          <w:p w:rsidR="00A350F8" w:rsidRPr="00970BF7" w:rsidRDefault="00C35B42" w:rsidP="00970BF7">
            <w:pPr>
              <w:rPr>
                <w:rFonts w:ascii="Arial" w:hAnsi="Arial" w:cs="Arial"/>
                <w:color w:val="1F497D" w:themeColor="text2"/>
                <w:sz w:val="20"/>
                <w:szCs w:val="20"/>
              </w:rPr>
            </w:pPr>
            <w:r w:rsidRPr="00970BF7">
              <w:rPr>
                <w:rFonts w:ascii="Arial" w:hAnsi="Arial" w:cs="Arial"/>
                <w:color w:val="1F497D" w:themeColor="text2"/>
                <w:sz w:val="20"/>
                <w:szCs w:val="20"/>
              </w:rPr>
              <w:t>5</w:t>
            </w:r>
            <w:r w:rsidR="00970BF7" w:rsidRPr="00970BF7">
              <w:rPr>
                <w:rFonts w:ascii="Arial" w:hAnsi="Arial" w:cs="Arial"/>
                <w:color w:val="1F497D" w:themeColor="text2"/>
                <w:sz w:val="20"/>
                <w:szCs w:val="20"/>
              </w:rPr>
              <w:t>.</w:t>
            </w:r>
            <w:r w:rsidR="00801A86" w:rsidRPr="00970BF7">
              <w:rPr>
                <w:rFonts w:ascii="Arial" w:hAnsi="Arial" w:cs="Arial"/>
                <w:color w:val="1F497D" w:themeColor="text2"/>
                <w:sz w:val="20"/>
                <w:szCs w:val="20"/>
              </w:rPr>
              <w:t xml:space="preserve">  </w:t>
            </w:r>
            <w:r w:rsidR="00970BF7" w:rsidRPr="00970BF7">
              <w:rPr>
                <w:rFonts w:ascii="Arial" w:hAnsi="Arial" w:cs="Arial"/>
                <w:color w:val="1F497D" w:themeColor="text2"/>
                <w:sz w:val="20"/>
                <w:szCs w:val="20"/>
              </w:rPr>
              <w:t>Class Report (CBM004)</w:t>
            </w:r>
          </w:p>
        </w:tc>
        <w:tc>
          <w:tcPr>
            <w:tcW w:w="1530"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801A86"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970BF7" w:rsidTr="00801A86">
        <w:tc>
          <w:tcPr>
            <w:tcW w:w="3870" w:type="dxa"/>
          </w:tcPr>
          <w:p w:rsidR="00970BF7" w:rsidRPr="00970BF7" w:rsidRDefault="00970BF7" w:rsidP="00970BF7">
            <w:pPr>
              <w:rPr>
                <w:rFonts w:ascii="Arial" w:hAnsi="Arial" w:cs="Arial"/>
                <w:color w:val="1F497D" w:themeColor="text2"/>
                <w:sz w:val="20"/>
                <w:szCs w:val="20"/>
              </w:rPr>
            </w:pPr>
            <w:r w:rsidRPr="00970BF7">
              <w:rPr>
                <w:rFonts w:ascii="Arial" w:hAnsi="Arial" w:cs="Arial"/>
                <w:color w:val="1F497D" w:themeColor="text2"/>
                <w:sz w:val="20"/>
                <w:szCs w:val="20"/>
              </w:rPr>
              <w:t>6.  Graduation Report (CBM009)</w:t>
            </w:r>
          </w:p>
        </w:tc>
        <w:tc>
          <w:tcPr>
            <w:tcW w:w="1530" w:type="dxa"/>
          </w:tcPr>
          <w:p w:rsidR="00970BF7" w:rsidRPr="00FF0E36" w:rsidRDefault="00970BF7" w:rsidP="00186DF0">
            <w:pPr>
              <w:jc w:val="center"/>
              <w:rPr>
                <w:rFonts w:ascii="Franklin Gothic Book" w:hAnsi="Franklin Gothic Book"/>
                <w:color w:val="FF0000"/>
              </w:rPr>
            </w:pPr>
          </w:p>
        </w:tc>
        <w:tc>
          <w:tcPr>
            <w:tcW w:w="1589" w:type="dxa"/>
          </w:tcPr>
          <w:p w:rsidR="00970BF7" w:rsidRDefault="00970BF7" w:rsidP="00186DF0">
            <w:pPr>
              <w:jc w:val="center"/>
              <w:rPr>
                <w:rFonts w:ascii="Franklin Gothic Book" w:hAnsi="Franklin Gothic Book"/>
                <w:color w:val="FF0000"/>
              </w:rPr>
            </w:pPr>
          </w:p>
        </w:tc>
        <w:tc>
          <w:tcPr>
            <w:tcW w:w="1651" w:type="dxa"/>
          </w:tcPr>
          <w:p w:rsidR="00970BF7" w:rsidRPr="00FF0E36" w:rsidRDefault="00970BF7"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Pr="004D3599" w:rsidRDefault="00D30426" w:rsidP="00F52ACE">
            <w:pPr>
              <w:pStyle w:val="ListParagraph"/>
              <w:ind w:left="0"/>
              <w:rPr>
                <w:rFonts w:ascii="Franklin Gothic Book" w:hAnsi="Franklin Gothic Book"/>
                <w:color w:val="4F81BD" w:themeColor="accent1"/>
              </w:rPr>
            </w:pPr>
          </w:p>
          <w:p w:rsidR="00D30426" w:rsidRPr="004D3599" w:rsidRDefault="00D30426" w:rsidP="00F52ACE">
            <w:pPr>
              <w:pStyle w:val="ListParagraph"/>
              <w:ind w:left="0"/>
              <w:rPr>
                <w:rFonts w:ascii="Franklin Gothic Book" w:hAnsi="Franklin Gothic Book"/>
                <w:color w:val="4F81BD" w:themeColor="accent1"/>
              </w:rPr>
            </w:pP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DB49B3" w:rsidRPr="004D3599" w:rsidRDefault="00DB49B3" w:rsidP="009D427F">
            <w:pPr>
              <w:pStyle w:val="ListParagraph"/>
              <w:ind w:left="0"/>
              <w:rPr>
                <w:rFonts w:ascii="Franklin Gothic Book" w:hAnsi="Franklin Gothic Book"/>
                <w:color w:val="4F81BD" w:themeColor="accent1"/>
              </w:rPr>
            </w:pPr>
          </w:p>
          <w:p w:rsidR="00DB49B3" w:rsidRPr="004D3599" w:rsidRDefault="00DB49B3" w:rsidP="009D427F">
            <w:pPr>
              <w:pStyle w:val="ListParagraph"/>
              <w:ind w:left="0"/>
              <w:rPr>
                <w:rFonts w:ascii="Franklin Gothic Book" w:hAnsi="Franklin Gothic Book"/>
                <w:color w:val="4F81BD" w:themeColor="accent1"/>
              </w:rPr>
            </w:pP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AF7301">
      <w:pPr>
        <w:pStyle w:val="IntenseQuote"/>
        <w:spacing w:after="0"/>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365545" w:rsidP="00186DF0">
            <w:pPr>
              <w:pStyle w:val="ListParagraph"/>
              <w:ind w:left="0"/>
              <w:jc w:val="center"/>
              <w:rPr>
                <w:rFonts w:ascii="Franklin Gothic Book" w:hAnsi="Franklin Gothic Book"/>
                <w:color w:val="FF0000"/>
              </w:rPr>
            </w:pPr>
          </w:p>
        </w:tc>
        <w:tc>
          <w:tcPr>
            <w:tcW w:w="4680" w:type="dxa"/>
          </w:tcPr>
          <w:p w:rsidR="00365545" w:rsidRPr="00FF0E36" w:rsidRDefault="00801A86"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Default="007525CB" w:rsidP="00186DF0">
            <w:pPr>
              <w:pStyle w:val="ListParagraph"/>
              <w:ind w:left="0"/>
              <w:rPr>
                <w:rFonts w:ascii="Franklin Gothic Book" w:hAnsi="Franklin Gothic Book"/>
                <w:color w:val="4F81BD" w:themeColor="accent1"/>
              </w:rPr>
            </w:pPr>
          </w:p>
          <w:p w:rsidR="007525CB" w:rsidRPr="004D3599" w:rsidRDefault="007525CB" w:rsidP="00186DF0">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440BAC" w:rsidRDefault="00440BAC"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010D35"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B64A21" w:rsidRDefault="00B64A21" w:rsidP="00B64A21"/>
    <w:p w:rsidR="00B64A21" w:rsidRPr="00C6787C" w:rsidRDefault="00294E38" w:rsidP="00C6787C">
      <w:pPr>
        <w:ind w:left="180" w:firstLine="720"/>
        <w:rPr>
          <w:b/>
          <w:i/>
        </w:rPr>
      </w:pPr>
      <w:r w:rsidRPr="00C6787C">
        <w:rPr>
          <w:b/>
          <w:i/>
          <w:color w:val="4F81BD" w:themeColor="accent1"/>
          <w:sz w:val="24"/>
        </w:rPr>
        <w:t>I</w:t>
      </w:r>
      <w:r w:rsidR="00B64A21" w:rsidRPr="00C6787C">
        <w:rPr>
          <w:b/>
          <w:i/>
          <w:color w:val="4F81BD" w:themeColor="accent1"/>
          <w:sz w:val="24"/>
        </w:rPr>
        <w:t xml:space="preserve">V: </w:t>
      </w:r>
      <w:r w:rsidRPr="00C6787C">
        <w:rPr>
          <w:b/>
          <w:i/>
          <w:color w:val="4F81BD" w:themeColor="accent1"/>
          <w:sz w:val="24"/>
        </w:rPr>
        <w:t>Institutional Initiatives</w:t>
      </w:r>
      <w:r w:rsidR="00B64A21" w:rsidRPr="00C6787C">
        <w:rPr>
          <w:b/>
          <w:i/>
          <w:color w:val="4F81BD" w:themeColor="accent1"/>
          <w:sz w:val="24"/>
        </w:rPr>
        <w:t xml:space="preserve">  </w:t>
      </w:r>
      <w:r w:rsidR="00631A9B" w:rsidRPr="00C6787C">
        <w:rPr>
          <w:b/>
          <w:i/>
          <w:sz w:val="24"/>
        </w:rPr>
        <w:tab/>
      </w:r>
      <w:r w:rsidR="00631A9B" w:rsidRPr="00C6787C">
        <w:rPr>
          <w:b/>
          <w:i/>
          <w:sz w:val="24"/>
        </w:rPr>
        <w:tab/>
      </w:r>
      <w:r w:rsidR="00631A9B" w:rsidRPr="00C6787C">
        <w:rPr>
          <w:b/>
          <w:i/>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lastRenderedPageBreak/>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75447A" w:rsidRPr="004D3599" w:rsidRDefault="00801A86" w:rsidP="0075447A">
            <w:pPr>
              <w:pStyle w:val="ListParagraph"/>
              <w:ind w:left="0"/>
              <w:rPr>
                <w:rFonts w:ascii="Franklin Gothic Book" w:hAnsi="Franklin Gothic Book"/>
                <w:color w:val="4F81BD" w:themeColor="accent1"/>
              </w:rPr>
            </w:pPr>
            <w:r>
              <w:rPr>
                <w:rFonts w:ascii="Franklin Gothic Book" w:hAnsi="Franklin Gothic Book"/>
                <w:color w:val="4F81BD" w:themeColor="accent1"/>
              </w:rPr>
              <w:t>The</w:t>
            </w:r>
            <w:r w:rsidR="0075447A">
              <w:rPr>
                <w:rFonts w:ascii="Franklin Gothic Book" w:hAnsi="Franklin Gothic Book"/>
                <w:color w:val="4F81BD" w:themeColor="accent1"/>
              </w:rPr>
              <w:t xml:space="preserve"> Enrollment Services Department focuses on removing roadblocks by assisting students with admission, registration, and electronic access to student records.  Provide assistance to students, faculty and staff via phone, email, </w:t>
            </w:r>
            <w:r w:rsidR="00A33813">
              <w:rPr>
                <w:rFonts w:ascii="Franklin Gothic Book" w:hAnsi="Franklin Gothic Book"/>
                <w:color w:val="4F81BD" w:themeColor="accent1"/>
              </w:rPr>
              <w:t>and chat</w:t>
            </w:r>
            <w:r w:rsidR="0075447A">
              <w:rPr>
                <w:rFonts w:ascii="Franklin Gothic Book" w:hAnsi="Franklin Gothic Book"/>
                <w:color w:val="4F81BD" w:themeColor="accent1"/>
              </w:rPr>
              <w:t xml:space="preserve"> 24 hours a day 7 days a week (askAC).</w:t>
            </w:r>
            <w:r w:rsidR="00A33813">
              <w:rPr>
                <w:rFonts w:ascii="Franklin Gothic Book" w:hAnsi="Franklin Gothic Book"/>
                <w:color w:val="4F81BD" w:themeColor="accent1"/>
              </w:rPr>
              <w:t xml:space="preserve">  </w:t>
            </w:r>
            <w:r w:rsidR="0075447A">
              <w:rPr>
                <w:rFonts w:ascii="Franklin Gothic Book" w:hAnsi="Franklin Gothic Book"/>
                <w:color w:val="4F81BD" w:themeColor="accent1"/>
              </w:rPr>
              <w:t>Assist</w:t>
            </w:r>
            <w:r w:rsidR="00D76B2E">
              <w:rPr>
                <w:rFonts w:ascii="Franklin Gothic Book" w:hAnsi="Franklin Gothic Book"/>
                <w:color w:val="4F81BD" w:themeColor="accent1"/>
              </w:rPr>
              <w:t>s</w:t>
            </w:r>
            <w:r w:rsidR="0075447A">
              <w:rPr>
                <w:rFonts w:ascii="Franklin Gothic Book" w:hAnsi="Franklin Gothic Book"/>
                <w:color w:val="4F81BD" w:themeColor="accent1"/>
              </w:rPr>
              <w:t xml:space="preserve"> with development of academic schedules to provide course access to students that best fit their needs.</w:t>
            </w: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3E632D" w:rsidRPr="00550262" w:rsidRDefault="003E632D" w:rsidP="00B11A3C">
            <w:pPr>
              <w:pStyle w:val="ListParagraph"/>
              <w:ind w:left="0"/>
              <w:rPr>
                <w:rFonts w:ascii="Franklin Gothic Book" w:hAnsi="Franklin Gothic Book"/>
                <w:color w:val="4F81BD" w:themeColor="accent1"/>
              </w:rPr>
            </w:pPr>
            <w:r w:rsidRPr="00550262">
              <w:rPr>
                <w:rFonts w:ascii="Franklin Gothic Book" w:hAnsi="Franklin Gothic Book"/>
                <w:color w:val="4F81BD" w:themeColor="accent1"/>
              </w:rPr>
              <w:t>Combined the leadership of the Office of the Registrar and askAC to combine services, provide better access and gain efficiencies.</w:t>
            </w:r>
          </w:p>
          <w:p w:rsidR="00D76B2E" w:rsidRPr="00550262" w:rsidRDefault="00D76B2E" w:rsidP="00B11A3C">
            <w:pPr>
              <w:pStyle w:val="ListParagraph"/>
              <w:ind w:left="0"/>
              <w:rPr>
                <w:rFonts w:ascii="Franklin Gothic Book" w:hAnsi="Franklin Gothic Book"/>
                <w:color w:val="4F81BD" w:themeColor="accent1"/>
              </w:rPr>
            </w:pPr>
            <w:r w:rsidRPr="00550262">
              <w:rPr>
                <w:rFonts w:ascii="Franklin Gothic Book" w:hAnsi="Franklin Gothic Book"/>
                <w:color w:val="4F81BD" w:themeColor="accent1"/>
              </w:rPr>
              <w:t>Implemented the College Scheduler application which allows an ease of scheduling and is also a time management tool as the students select and register for their classes.</w:t>
            </w:r>
          </w:p>
          <w:p w:rsidR="003E632D" w:rsidRPr="00550262" w:rsidRDefault="003E632D" w:rsidP="00B11A3C">
            <w:pPr>
              <w:pStyle w:val="ListParagraph"/>
              <w:ind w:left="0"/>
              <w:rPr>
                <w:rFonts w:ascii="Franklin Gothic Book" w:hAnsi="Franklin Gothic Book"/>
                <w:color w:val="4F81BD" w:themeColor="accent1"/>
              </w:rPr>
            </w:pPr>
          </w:p>
          <w:p w:rsidR="00380696" w:rsidRPr="00550262" w:rsidRDefault="00380696" w:rsidP="00B11A3C">
            <w:pPr>
              <w:pStyle w:val="ListParagraph"/>
              <w:ind w:left="0"/>
              <w:rPr>
                <w:rFonts w:ascii="Franklin Gothic Book" w:hAnsi="Franklin Gothic Book"/>
                <w:color w:val="4F81BD" w:themeColor="accent1"/>
              </w:rPr>
            </w:pPr>
          </w:p>
          <w:p w:rsidR="00562EBC" w:rsidRPr="00550262" w:rsidRDefault="00562EBC" w:rsidP="00B11A3C">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lastRenderedPageBreak/>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1E182B" w:rsidRDefault="00C6787C" w:rsidP="00FE6655">
            <w:pPr>
              <w:rPr>
                <w:rFonts w:ascii="Franklin Gothic Book" w:hAnsi="Franklin Gothic Book"/>
                <w:color w:val="4F81BD" w:themeColor="accent1"/>
              </w:rPr>
            </w:pPr>
            <w:r>
              <w:rPr>
                <w:rFonts w:ascii="Franklin Gothic Book" w:hAnsi="Franklin Gothic Book"/>
                <w:color w:val="4F81BD" w:themeColor="accent1"/>
              </w:rPr>
              <w:t>Provide useful data to support student transfer rates.</w:t>
            </w:r>
          </w:p>
          <w:p w:rsidR="00C6787C" w:rsidRPr="00FE6655" w:rsidRDefault="00C6787C" w:rsidP="00FE6655"/>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FE6655" w:rsidRDefault="00FE6655" w:rsidP="00FE6655">
            <w:pPr>
              <w:rPr>
                <w:rFonts w:ascii="Franklin Gothic Book" w:hAnsi="Franklin Gothic Book"/>
                <w:color w:val="4F81BD" w:themeColor="accent1"/>
              </w:rPr>
            </w:pPr>
            <w:r w:rsidRPr="00FE6655">
              <w:rPr>
                <w:rFonts w:ascii="Franklin Gothic Book" w:hAnsi="Franklin Gothic Book"/>
                <w:color w:val="4F81BD" w:themeColor="accent1"/>
              </w:rPr>
              <w:t xml:space="preserve">After adding transfer intent </w:t>
            </w:r>
            <w:r>
              <w:rPr>
                <w:rFonts w:ascii="Franklin Gothic Book" w:hAnsi="Franklin Gothic Book"/>
                <w:color w:val="4F81BD" w:themeColor="accent1"/>
              </w:rPr>
              <w:t xml:space="preserve">question </w:t>
            </w:r>
            <w:r w:rsidRPr="00FE6655">
              <w:rPr>
                <w:rFonts w:ascii="Franklin Gothic Book" w:hAnsi="Franklin Gothic Book"/>
                <w:color w:val="4F81BD" w:themeColor="accent1"/>
              </w:rPr>
              <w:t xml:space="preserve">to the </w:t>
            </w:r>
            <w:r>
              <w:rPr>
                <w:rFonts w:ascii="Franklin Gothic Book" w:hAnsi="Franklin Gothic Book"/>
                <w:color w:val="4F81BD" w:themeColor="accent1"/>
              </w:rPr>
              <w:t xml:space="preserve">AC </w:t>
            </w:r>
            <w:r w:rsidRPr="00FE6655">
              <w:rPr>
                <w:rFonts w:ascii="Franklin Gothic Book" w:hAnsi="Franklin Gothic Book"/>
                <w:color w:val="4F81BD" w:themeColor="accent1"/>
              </w:rPr>
              <w:t>admission application, 50 per</w:t>
            </w:r>
            <w:r>
              <w:rPr>
                <w:rFonts w:ascii="Franklin Gothic Book" w:hAnsi="Franklin Gothic Book"/>
                <w:color w:val="4F81BD" w:themeColor="accent1"/>
              </w:rPr>
              <w:t>cent of the students who apply</w:t>
            </w:r>
            <w:r w:rsidRPr="00FE6655">
              <w:rPr>
                <w:rFonts w:ascii="Franklin Gothic Book" w:hAnsi="Franklin Gothic Book"/>
                <w:color w:val="4F81BD" w:themeColor="accent1"/>
              </w:rPr>
              <w:t xml:space="preserve"> for fall 2015 </w:t>
            </w:r>
            <w:r>
              <w:rPr>
                <w:rFonts w:ascii="Franklin Gothic Book" w:hAnsi="Franklin Gothic Book"/>
                <w:color w:val="4F81BD" w:themeColor="accent1"/>
              </w:rPr>
              <w:t>admission will identify the college or university where they plan to transfer after completing their studies at Amarillo College.</w:t>
            </w:r>
          </w:p>
          <w:p w:rsidR="00FE6655" w:rsidRPr="00FE6655" w:rsidRDefault="00FE6655" w:rsidP="00FE6655">
            <w:pPr>
              <w:rPr>
                <w:rFonts w:ascii="Franklin Gothic Book" w:hAnsi="Franklin Gothic Book"/>
                <w:color w:val="4F81BD" w:themeColor="accent1"/>
              </w:rPr>
            </w:pPr>
          </w:p>
        </w:tc>
      </w:tr>
    </w:tbl>
    <w:p w:rsidR="00AF7301" w:rsidRPr="007A2C78" w:rsidRDefault="00AF7301" w:rsidP="007A2C78">
      <w:pPr>
        <w:rPr>
          <w:rFonts w:ascii="Franklin Gothic Book" w:hAnsi="Franklin Gothic Book"/>
          <w:b/>
          <w:sz w:val="24"/>
          <w:szCs w:val="24"/>
        </w:rPr>
      </w:pPr>
    </w:p>
    <w:p w:rsidR="00036995" w:rsidRPr="00036995" w:rsidRDefault="00036995" w:rsidP="007A2C78">
      <w:pPr>
        <w:pStyle w:val="ListParagraph"/>
        <w:numPr>
          <w:ilvl w:val="0"/>
          <w:numId w:val="34"/>
        </w:numPr>
        <w:spacing w:after="0"/>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C6787C" w:rsidRDefault="00C6787C" w:rsidP="005260E8">
            <w:pPr>
              <w:rPr>
                <w:rFonts w:ascii="Franklin Gothic Book" w:hAnsi="Franklin Gothic Book"/>
                <w:color w:val="4F81BD" w:themeColor="accent1"/>
              </w:rPr>
            </w:pPr>
            <w:r>
              <w:rPr>
                <w:rFonts w:ascii="Franklin Gothic Book" w:hAnsi="Franklin Gothic Book"/>
                <w:color w:val="4F81BD" w:themeColor="accent1"/>
              </w:rPr>
              <w:t xml:space="preserve">We counted the number of “transfer intent” responses received and matched it against the number of total applications received for 2015FA. </w:t>
            </w:r>
          </w:p>
          <w:p w:rsidR="00C6787C" w:rsidRDefault="00C6787C" w:rsidP="005260E8">
            <w:pPr>
              <w:rPr>
                <w:rFonts w:ascii="Franklin Gothic Book" w:hAnsi="Franklin Gothic Book"/>
                <w:color w:val="4F81BD" w:themeColor="accent1"/>
              </w:rPr>
            </w:pPr>
          </w:p>
          <w:p w:rsidR="008F43B9" w:rsidRDefault="0057664D" w:rsidP="005260E8">
            <w:pPr>
              <w:rPr>
                <w:rFonts w:ascii="Franklin Gothic Book" w:hAnsi="Franklin Gothic Book"/>
                <w:color w:val="4F81BD" w:themeColor="accent1"/>
              </w:rPr>
            </w:pPr>
            <w:r>
              <w:rPr>
                <w:rFonts w:ascii="Franklin Gothic Book" w:hAnsi="Franklin Gothic Book"/>
                <w:color w:val="4F81BD" w:themeColor="accent1"/>
              </w:rPr>
              <w:t>1460 out of 7804 = 19%</w:t>
            </w:r>
          </w:p>
          <w:p w:rsidR="00C6787C" w:rsidRDefault="00C6787C" w:rsidP="005260E8">
            <w:pPr>
              <w:rPr>
                <w:rFonts w:ascii="Franklin Gothic Book" w:hAnsi="Franklin Gothic Book"/>
                <w:color w:val="4F81BD" w:themeColor="accent1"/>
              </w:rPr>
            </w:pPr>
          </w:p>
          <w:p w:rsidR="00C6787C" w:rsidRPr="004D3599" w:rsidRDefault="00C6787C" w:rsidP="005260E8">
            <w:pPr>
              <w:rPr>
                <w:rFonts w:ascii="Franklin Gothic Book" w:hAnsi="Franklin Gothic Book"/>
                <w:color w:val="4F81BD" w:themeColor="accent1"/>
              </w:rPr>
            </w:pPr>
            <w:r>
              <w:rPr>
                <w:rFonts w:ascii="Franklin Gothic Book" w:hAnsi="Franklin Gothic Book"/>
                <w:color w:val="4F81BD" w:themeColor="accent1"/>
              </w:rPr>
              <w:t>We were disappointed by the low response rate. However, we know that many applicants did not have an opportunity to answer the question because it was not added to the application until January 2015.</w:t>
            </w: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lastRenderedPageBreak/>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Pr="004D3599" w:rsidRDefault="00C6787C" w:rsidP="005260E8">
            <w:pPr>
              <w:pStyle w:val="ListParagraph"/>
              <w:ind w:left="0"/>
              <w:rPr>
                <w:rFonts w:ascii="Franklin Gothic Book" w:hAnsi="Franklin Gothic Book"/>
                <w:color w:val="4F81BD" w:themeColor="accent1"/>
              </w:rPr>
            </w:pPr>
            <w:r>
              <w:rPr>
                <w:rFonts w:ascii="Franklin Gothic Book" w:hAnsi="Franklin Gothic Book"/>
                <w:color w:val="4F81BD" w:themeColor="accent1"/>
              </w:rPr>
              <w:t>All fall 2016 applicants will have an op</w:t>
            </w:r>
            <w:r w:rsidR="008320FA">
              <w:rPr>
                <w:rFonts w:ascii="Franklin Gothic Book" w:hAnsi="Franklin Gothic Book"/>
                <w:color w:val="4F81BD" w:themeColor="accent1"/>
              </w:rPr>
              <w:t>portunity to answer the question. Therefore, we anticipate that response rates will be much higher. Additionally, w</w:t>
            </w:r>
            <w:r w:rsidR="005260E8">
              <w:rPr>
                <w:rFonts w:ascii="Franklin Gothic Book" w:hAnsi="Franklin Gothic Book"/>
                <w:color w:val="4F81BD" w:themeColor="accent1"/>
              </w:rPr>
              <w:t>e are in the process of developing a new admission application and will provide a drop down list for students to choose from to ensure data is standardized.  Currently students may report a desire to attend MSU, without knowing exactly which school they plan to attend, we are not able to assist them with making that transfer connection.</w:t>
            </w:r>
          </w:p>
        </w:tc>
      </w:tr>
    </w:tbl>
    <w:p w:rsidR="00CB0260" w:rsidRDefault="00CB0260" w:rsidP="00562EBC">
      <w:pPr>
        <w:pStyle w:val="ListParagraph"/>
        <w:ind w:left="810"/>
        <w:rPr>
          <w:rFonts w:ascii="Franklin Gothic Book" w:hAnsi="Franklin Gothic Book"/>
          <w:color w:val="FF0000"/>
          <w:sz w:val="24"/>
        </w:rPr>
      </w:pPr>
    </w:p>
    <w:p w:rsidR="00FF4B57" w:rsidRDefault="00FF4B57" w:rsidP="00562EBC">
      <w:pPr>
        <w:pStyle w:val="ListParagraph"/>
        <w:ind w:left="810"/>
        <w:rPr>
          <w:rFonts w:ascii="Franklin Gothic Book" w:hAnsi="Franklin Gothic Book"/>
          <w:color w:val="FF0000"/>
          <w:sz w:val="24"/>
        </w:rPr>
      </w:pPr>
    </w:p>
    <w:p w:rsidR="00FF4B57" w:rsidRDefault="00FF4B57" w:rsidP="00562EBC">
      <w:pPr>
        <w:pStyle w:val="ListParagraph"/>
        <w:ind w:left="810"/>
        <w:rPr>
          <w:rFonts w:ascii="Franklin Gothic Book" w:hAnsi="Franklin Gothic Book"/>
          <w:color w:val="FF0000"/>
          <w:sz w:val="24"/>
        </w:rPr>
      </w:pPr>
    </w:p>
    <w:p w:rsidR="00FF4B57" w:rsidRDefault="00FF4B57" w:rsidP="00562EBC">
      <w:pPr>
        <w:pStyle w:val="ListParagraph"/>
        <w:ind w:left="810"/>
        <w:rPr>
          <w:rFonts w:ascii="Franklin Gothic Book" w:hAnsi="Franklin Gothic Book"/>
          <w:color w:val="FF0000"/>
          <w:sz w:val="24"/>
        </w:rPr>
      </w:pPr>
    </w:p>
    <w:p w:rsidR="00FF4B57" w:rsidRDefault="00FF4B57" w:rsidP="00562EBC">
      <w:pPr>
        <w:pStyle w:val="ListParagraph"/>
        <w:ind w:left="810"/>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Pr="004D3599" w:rsidRDefault="00C25814" w:rsidP="00B73C41">
            <w:pPr>
              <w:pStyle w:val="ListParagraph"/>
              <w:numPr>
                <w:ilvl w:val="2"/>
                <w:numId w:val="22"/>
              </w:numPr>
              <w:rPr>
                <w:rFonts w:ascii="Franklin Gothic Book" w:hAnsi="Franklin Gothic Book"/>
                <w:color w:val="4F81BD" w:themeColor="accent1"/>
              </w:rPr>
            </w:pPr>
            <w:r>
              <w:rPr>
                <w:rFonts w:ascii="Franklin Gothic Book" w:hAnsi="Franklin Gothic Book"/>
                <w:color w:val="4F81BD" w:themeColor="accent1"/>
              </w:rPr>
              <w:t>- Student services and instructional leadership will assess the barriers to student access.</w:t>
            </w: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393558" w:rsidRDefault="00393558" w:rsidP="00BB6651">
            <w:pPr>
              <w:pStyle w:val="ListParagraph"/>
              <w:rPr>
                <w:rFonts w:ascii="Franklin Gothic Book" w:hAnsi="Franklin Gothic Book"/>
                <w:color w:val="4F81BD" w:themeColor="accent1"/>
              </w:rPr>
            </w:pPr>
          </w:p>
          <w:p w:rsidR="00393558" w:rsidRDefault="00393558" w:rsidP="00F34DB9">
            <w:pPr>
              <w:pStyle w:val="ListParagraph"/>
              <w:ind w:left="0"/>
              <w:rPr>
                <w:rFonts w:ascii="Franklin Gothic Book" w:hAnsi="Franklin Gothic Book"/>
                <w:color w:val="4F81BD" w:themeColor="accent1"/>
              </w:rPr>
            </w:pPr>
          </w:p>
          <w:p w:rsidR="008F43B9" w:rsidRPr="004D3599" w:rsidRDefault="008F43B9" w:rsidP="00F34DB9">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3E3127" w:rsidRPr="005A53C4" w:rsidRDefault="00755196" w:rsidP="00AF7301">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 xml:space="preserve">At Amarillo College, a component of student learning is found present in the existence of AC’s General Education Competencies. Due to recent mandate </w:t>
      </w:r>
      <w:r>
        <w:rPr>
          <w:rFonts w:ascii="Franklin Gothic Book" w:hAnsi="Franklin Gothic Book"/>
          <w:sz w:val="24"/>
        </w:rPr>
        <w:lastRenderedPageBreak/>
        <w:t>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AF7301" w:rsidRPr="00D5122A" w:rsidRDefault="00A00FAA" w:rsidP="00D5122A">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D5122A" w:rsidRDefault="00D5122A"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C25814"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C25814"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lastRenderedPageBreak/>
              <w:t>Empirical &amp; Quantitative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C25814"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3B4393"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C25814"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C25814"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bl>
    <w:p w:rsidR="00AF7301" w:rsidRDefault="00AF7301" w:rsidP="00AF7301">
      <w:pPr>
        <w:pStyle w:val="ListParagraph"/>
        <w:ind w:left="1170"/>
        <w:rPr>
          <w:rFonts w:ascii="Franklin Gothic Book" w:hAnsi="Franklin Gothic Book"/>
          <w:b/>
          <w:sz w:val="24"/>
        </w:rPr>
      </w:pPr>
    </w:p>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9"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875A4E" w:rsidRDefault="00C25814"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Communication Skills:  We must verbally communicate with our students to be able to communicate any documents or information that we may need to complete their application process.  We must communicate in a way that assures the student comprehends the message that is delivered.  If my team feels the message is not being received, we try different approaches to successfully deliver our message.</w:t>
            </w:r>
          </w:p>
          <w:p w:rsidR="00C25814" w:rsidRDefault="00C25814" w:rsidP="00F34DB9">
            <w:pPr>
              <w:pStyle w:val="ListParagraph"/>
              <w:ind w:left="0"/>
              <w:rPr>
                <w:rFonts w:ascii="Franklin Gothic Book" w:hAnsi="Franklin Gothic Book"/>
                <w:color w:val="4F81BD" w:themeColor="accent1"/>
              </w:rPr>
            </w:pPr>
          </w:p>
          <w:p w:rsidR="00550262" w:rsidRDefault="003B4393" w:rsidP="00C25814">
            <w:pPr>
              <w:pStyle w:val="ListParagraph"/>
              <w:ind w:left="0"/>
              <w:rPr>
                <w:rFonts w:ascii="Franklin Gothic Book" w:hAnsi="Franklin Gothic Book"/>
                <w:color w:val="4F81BD" w:themeColor="accent1"/>
              </w:rPr>
            </w:pPr>
            <w:r>
              <w:rPr>
                <w:rFonts w:ascii="Franklin Gothic Book" w:hAnsi="Franklin Gothic Book"/>
                <w:color w:val="4F81BD" w:themeColor="accent1"/>
              </w:rPr>
              <w:t>Teamwork:  The entire enrollment and graduation process requires involvement from multiple areas of the college as well as the student.  We work with students to help them become advocates for their own education while guiding them through the process.</w:t>
            </w:r>
          </w:p>
          <w:p w:rsidR="00550262" w:rsidRDefault="00550262" w:rsidP="00C25814">
            <w:pPr>
              <w:pStyle w:val="ListParagraph"/>
              <w:ind w:left="0"/>
              <w:rPr>
                <w:rFonts w:ascii="Franklin Gothic Book" w:hAnsi="Franklin Gothic Book"/>
                <w:b/>
                <w:color w:val="FF0000"/>
              </w:rPr>
            </w:pPr>
          </w:p>
          <w:p w:rsidR="004D6468" w:rsidRDefault="00AE60BE" w:rsidP="00C25814">
            <w:pPr>
              <w:pStyle w:val="ListParagraph"/>
              <w:ind w:left="0"/>
              <w:rPr>
                <w:rFonts w:ascii="Franklin Gothic Book" w:hAnsi="Franklin Gothic Book"/>
                <w:color w:val="4F81BD" w:themeColor="accent1"/>
              </w:rPr>
            </w:pPr>
            <w:r>
              <w:rPr>
                <w:rFonts w:ascii="Franklin Gothic Book" w:hAnsi="Franklin Gothic Book"/>
                <w:color w:val="4F81BD" w:themeColor="accent1"/>
              </w:rPr>
              <w:t>Personal Responsibility: We communicate with the students in all forms of communication the importance of meeting deadlines for applications and enrollment.</w:t>
            </w:r>
          </w:p>
          <w:p w:rsidR="00550262" w:rsidRDefault="00550262" w:rsidP="00C25814">
            <w:pPr>
              <w:pStyle w:val="ListParagraph"/>
              <w:ind w:left="0"/>
              <w:rPr>
                <w:rFonts w:ascii="Franklin Gothic Book" w:hAnsi="Franklin Gothic Book"/>
                <w:color w:val="4F81BD" w:themeColor="accent1"/>
              </w:rPr>
            </w:pPr>
          </w:p>
          <w:p w:rsidR="00AE60BE" w:rsidRPr="004D6468" w:rsidRDefault="00AE60BE" w:rsidP="00C25814">
            <w:pPr>
              <w:pStyle w:val="ListParagraph"/>
              <w:ind w:left="0"/>
              <w:rPr>
                <w:rFonts w:ascii="Franklin Gothic Book" w:hAnsi="Franklin Gothic Book"/>
                <w:color w:val="00B0F0"/>
              </w:rPr>
            </w:pPr>
            <w:r>
              <w:rPr>
                <w:rFonts w:ascii="Franklin Gothic Book" w:hAnsi="Franklin Gothic Book"/>
                <w:color w:val="4F81BD" w:themeColor="accent1"/>
              </w:rPr>
              <w:t xml:space="preserve">Social Responsibility:  We assist the students with a checklist both in-person and via the admissions letter by explaining what is required of them and how to proceed through the enrollment process. </w:t>
            </w: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Pr="00AF7301" w:rsidRDefault="00C25814" w:rsidP="00C25814">
            <w:pPr>
              <w:pStyle w:val="ListParagraph"/>
              <w:ind w:left="0"/>
              <w:jc w:val="center"/>
              <w:rPr>
                <w:rFonts w:ascii="Franklin Gothic Book" w:hAnsi="Franklin Gothic Book"/>
                <w:color w:val="4F81BD" w:themeColor="accent1"/>
              </w:rPr>
            </w:pPr>
            <w:r w:rsidRPr="00AF7301">
              <w:rPr>
                <w:rFonts w:ascii="Franklin Gothic Book" w:hAnsi="Franklin Gothic Book"/>
                <w:color w:val="4F81BD" w:themeColor="accent1"/>
              </w:rPr>
              <w:t>X</w:t>
            </w:r>
          </w:p>
        </w:tc>
        <w:tc>
          <w:tcPr>
            <w:tcW w:w="1954" w:type="dxa"/>
          </w:tcPr>
          <w:p w:rsidR="00780BF1" w:rsidRPr="00AF7301" w:rsidRDefault="00C25814" w:rsidP="00C25814">
            <w:pPr>
              <w:pStyle w:val="ListParagraph"/>
              <w:ind w:left="0"/>
              <w:jc w:val="center"/>
              <w:rPr>
                <w:rFonts w:ascii="Franklin Gothic Book" w:hAnsi="Franklin Gothic Book"/>
                <w:color w:val="4F81BD" w:themeColor="accent1"/>
              </w:rPr>
            </w:pPr>
            <w:r w:rsidRPr="00AF7301">
              <w:rPr>
                <w:rFonts w:ascii="Franklin Gothic Book" w:hAnsi="Franklin Gothic Book"/>
                <w:color w:val="4F81BD" w:themeColor="accent1"/>
              </w:rPr>
              <w:t>X</w:t>
            </w:r>
          </w:p>
        </w:tc>
        <w:tc>
          <w:tcPr>
            <w:tcW w:w="1986" w:type="dxa"/>
          </w:tcPr>
          <w:p w:rsidR="00780BF1" w:rsidRPr="00AF7301" w:rsidRDefault="00C25814" w:rsidP="00C25814">
            <w:pPr>
              <w:pStyle w:val="ListParagraph"/>
              <w:ind w:left="0"/>
              <w:jc w:val="center"/>
              <w:rPr>
                <w:rFonts w:ascii="Franklin Gothic Book" w:hAnsi="Franklin Gothic Book"/>
                <w:color w:val="4F81BD" w:themeColor="accent1"/>
              </w:rPr>
            </w:pPr>
            <w:r w:rsidRPr="00AF7301">
              <w:rPr>
                <w:rFonts w:ascii="Franklin Gothic Book" w:hAnsi="Franklin Gothic Book"/>
                <w:color w:val="4F81BD" w:themeColor="accent1"/>
              </w:rPr>
              <w:t>X</w:t>
            </w:r>
          </w:p>
        </w:tc>
        <w:tc>
          <w:tcPr>
            <w:tcW w:w="1952" w:type="dxa"/>
          </w:tcPr>
          <w:p w:rsidR="00780BF1" w:rsidRPr="00AF7301" w:rsidRDefault="00C25814" w:rsidP="00C25814">
            <w:pPr>
              <w:pStyle w:val="ListParagraph"/>
              <w:ind w:left="0"/>
              <w:jc w:val="center"/>
              <w:rPr>
                <w:rFonts w:ascii="Franklin Gothic Book" w:hAnsi="Franklin Gothic Book"/>
                <w:color w:val="4F81BD" w:themeColor="accent1"/>
              </w:rPr>
            </w:pPr>
            <w:r w:rsidRPr="00AF7301">
              <w:rPr>
                <w:rFonts w:ascii="Franklin Gothic Book" w:hAnsi="Franklin Gothic Book"/>
                <w:color w:val="4F81BD" w:themeColor="accent1"/>
              </w:rPr>
              <w:t>X</w:t>
            </w:r>
          </w:p>
        </w:tc>
        <w:tc>
          <w:tcPr>
            <w:tcW w:w="1670" w:type="dxa"/>
          </w:tcPr>
          <w:p w:rsidR="00780BF1" w:rsidRPr="00AF7301" w:rsidRDefault="00C25814" w:rsidP="00C25814">
            <w:pPr>
              <w:pStyle w:val="ListParagraph"/>
              <w:ind w:left="0"/>
              <w:jc w:val="center"/>
              <w:rPr>
                <w:rFonts w:ascii="Franklin Gothic Book" w:hAnsi="Franklin Gothic Book"/>
                <w:color w:val="4F81BD" w:themeColor="accent1"/>
              </w:rPr>
            </w:pPr>
            <w:r w:rsidRPr="00AF7301">
              <w:rPr>
                <w:rFonts w:ascii="Franklin Gothic Book" w:hAnsi="Franklin Gothic Book"/>
                <w:color w:val="4F81BD" w:themeColor="accent1"/>
              </w:rPr>
              <w:t>X</w:t>
            </w:r>
          </w:p>
        </w:tc>
      </w:tr>
    </w:tbl>
    <w:p w:rsidR="00AF7301" w:rsidRDefault="00AF7301" w:rsidP="00780BF1">
      <w:pPr>
        <w:pStyle w:val="ListParagraph"/>
        <w:ind w:left="1170"/>
        <w:rPr>
          <w:rFonts w:ascii="Franklin Gothic Book" w:hAnsi="Franklin Gothic Book"/>
          <w:b/>
          <w:sz w:val="24"/>
        </w:rPr>
      </w:pPr>
    </w:p>
    <w:p w:rsidR="00A801E9" w:rsidRPr="00A801E9" w:rsidRDefault="00A801E9" w:rsidP="009C0DCC">
      <w:pPr>
        <w:spacing w:after="0"/>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w:t>
      </w:r>
      <w:r w:rsidR="00BC2C75">
        <w:rPr>
          <w:rFonts w:ascii="Franklin Gothic Book" w:hAnsi="Franklin Gothic Book"/>
          <w:b/>
          <w:sz w:val="24"/>
        </w:rPr>
        <w:lastRenderedPageBreak/>
        <w:t xml:space="preserve">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Pr="004D3599" w:rsidRDefault="009D72B5" w:rsidP="008305BD">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We would like to someday pilot a program where some of our employees can work from home using our technology to service our students possibly 24 hours a day.  </w:t>
            </w:r>
            <w:r w:rsidR="008305BD">
              <w:rPr>
                <w:rFonts w:ascii="Franklin Gothic Book" w:hAnsi="Franklin Gothic Book"/>
                <w:color w:val="4F81BD" w:themeColor="accent1"/>
              </w:rPr>
              <w:t>W</w:t>
            </w:r>
            <w:r>
              <w:rPr>
                <w:rFonts w:ascii="Franklin Gothic Book" w:hAnsi="Franklin Gothic Book"/>
                <w:color w:val="4F81BD" w:themeColor="accent1"/>
              </w:rPr>
              <w:t>e continually work to market our extended evening hou</w:t>
            </w:r>
            <w:r w:rsidR="003B4393">
              <w:rPr>
                <w:rFonts w:ascii="Franklin Gothic Book" w:hAnsi="Franklin Gothic Book"/>
                <w:color w:val="4F81BD" w:themeColor="accent1"/>
              </w:rPr>
              <w:t>rs and our Saturday phone hours. We plan to have full services available to students on Saturday prior to the beginning of the fall and spring semesters.</w:t>
            </w:r>
          </w:p>
        </w:tc>
      </w:tr>
    </w:tbl>
    <w:p w:rsidR="00A801E9" w:rsidRDefault="00A801E9" w:rsidP="00780BF1">
      <w:pPr>
        <w:pStyle w:val="ListParagraph"/>
        <w:ind w:left="1170"/>
        <w:rPr>
          <w:rFonts w:ascii="Franklin Gothic Book" w:hAnsi="Franklin Gothic Book"/>
          <w:b/>
          <w:sz w:val="24"/>
        </w:rPr>
      </w:pPr>
    </w:p>
    <w:p w:rsidR="00D5122A" w:rsidRDefault="00D5122A" w:rsidP="00780BF1">
      <w:pPr>
        <w:pStyle w:val="ListParagraph"/>
        <w:ind w:left="1170"/>
        <w:rPr>
          <w:rFonts w:ascii="Franklin Gothic Book" w:hAnsi="Franklin Gothic Book"/>
          <w:b/>
          <w:sz w:val="24"/>
        </w:rPr>
      </w:pPr>
    </w:p>
    <w:p w:rsidR="009C0DCC" w:rsidRDefault="009C0DCC" w:rsidP="00780BF1">
      <w:pPr>
        <w:pStyle w:val="ListParagraph"/>
        <w:ind w:left="1170"/>
        <w:rPr>
          <w:rFonts w:ascii="Franklin Gothic Book" w:hAnsi="Franklin Gothic Book"/>
          <w:b/>
          <w:sz w:val="24"/>
        </w:rPr>
      </w:pPr>
    </w:p>
    <w:p w:rsidR="00E02198" w:rsidRPr="00631A9B" w:rsidRDefault="00E02198" w:rsidP="00AF7301">
      <w:pPr>
        <w:pStyle w:val="IntenseQuote"/>
        <w:spacing w:after="0"/>
        <w:rPr>
          <w:color w:val="auto"/>
          <w:sz w:val="24"/>
        </w:rPr>
      </w:pPr>
      <w:r w:rsidRPr="00E34BC3">
        <w:rPr>
          <w:sz w:val="24"/>
        </w:rPr>
        <w:t>V:</w:t>
      </w:r>
      <w:r w:rsidRPr="00E34BC3">
        <w:rPr>
          <w:color w:val="auto"/>
          <w:sz w:val="24"/>
        </w:rPr>
        <w:t xml:space="preserve"> </w:t>
      </w:r>
      <w:r w:rsidRPr="00E34BC3">
        <w:rPr>
          <w:sz w:val="24"/>
        </w:rPr>
        <w:t>P</w:t>
      </w:r>
      <w:r w:rsidR="00A86B2A" w:rsidRPr="00E34BC3">
        <w:rPr>
          <w:sz w:val="24"/>
        </w:rPr>
        <w:t>olicies and P</w:t>
      </w:r>
      <w:r w:rsidRPr="00E34BC3">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FB217C"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Each semester we remind staff of FERPA guidelines. </w:t>
            </w:r>
          </w:p>
          <w:p w:rsidR="00B01E2C" w:rsidRPr="004D3599" w:rsidRDefault="00B01E2C" w:rsidP="00F34DB9">
            <w:pPr>
              <w:pStyle w:val="ListParagraph"/>
              <w:ind w:left="0"/>
              <w:rPr>
                <w:rFonts w:ascii="Franklin Gothic Book" w:hAnsi="Franklin Gothic Book"/>
                <w:color w:val="4F81BD" w:themeColor="accent1"/>
              </w:rPr>
            </w:pP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lastRenderedPageBreak/>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AA3AEA"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This information is communicated during staff meetings and again as a reminder as they are serving students who may wish to report a concern.</w:t>
            </w:r>
          </w:p>
          <w:p w:rsidR="00B01E2C" w:rsidRPr="004D3599" w:rsidRDefault="00B01E2C" w:rsidP="00F34DB9">
            <w:pPr>
              <w:pStyle w:val="ListParagraph"/>
              <w:ind w:left="0"/>
              <w:rPr>
                <w:rFonts w:ascii="Franklin Gothic Book" w:hAnsi="Franklin Gothic Book"/>
                <w:color w:val="4F81BD" w:themeColor="accent1"/>
              </w:rPr>
            </w:pPr>
          </w:p>
        </w:tc>
      </w:tr>
    </w:tbl>
    <w:p w:rsidR="00A67AE7" w:rsidRPr="00AF7301" w:rsidRDefault="00A67AE7" w:rsidP="00AF7301">
      <w:pPr>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983F6D"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Developed a group of Student Affairs staff who address concerns from students and staff.  We take feedback and develop procedures to address concerns and improve our service to students, faculty and staff within our normal course of business.</w:t>
            </w:r>
          </w:p>
          <w:p w:rsidR="00A67AE7" w:rsidRPr="004D3599" w:rsidRDefault="00A67AE7" w:rsidP="00F34DB9">
            <w:pPr>
              <w:pStyle w:val="ListParagraph"/>
              <w:ind w:left="0"/>
              <w:rPr>
                <w:rFonts w:ascii="Franklin Gothic Book" w:hAnsi="Franklin Gothic Book"/>
                <w:color w:val="4F81BD" w:themeColor="accent1"/>
              </w:rPr>
            </w:pP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Default="008C4877"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As a result of findings in the Financial Aid audit, we have modified the way we report graduates to the National Student Clearinghouse.</w:t>
            </w:r>
          </w:p>
          <w:p w:rsidR="008C4877" w:rsidRPr="004D3599" w:rsidRDefault="008C4877" w:rsidP="00F34DB9">
            <w:pPr>
              <w:pStyle w:val="ListParagraph"/>
              <w:ind w:left="0"/>
              <w:rPr>
                <w:rFonts w:ascii="Franklin Gothic Book" w:hAnsi="Franklin Gothic Book"/>
                <w:color w:val="4F81BD" w:themeColor="accent1"/>
              </w:rPr>
            </w:pP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5D0E07" w:rsidP="00F34DB9">
            <w:pPr>
              <w:pStyle w:val="ListParagraph"/>
              <w:ind w:left="0"/>
              <w:rPr>
                <w:rFonts w:ascii="Franklin Gothic Book" w:hAnsi="Franklin Gothic Book"/>
                <w:color w:val="4F81BD" w:themeColor="accent1"/>
              </w:rPr>
            </w:pPr>
          </w:p>
        </w:tc>
      </w:tr>
    </w:tbl>
    <w:p w:rsidR="006643BA" w:rsidRPr="00FF4B57" w:rsidRDefault="006643BA" w:rsidP="00FF4B57">
      <w:pPr>
        <w:rPr>
          <w:rFonts w:ascii="Franklin Gothic Book" w:hAnsi="Franklin Gothic Book"/>
          <w:sz w:val="24"/>
        </w:rPr>
      </w:pPr>
    </w:p>
    <w:p w:rsidR="00175D8F" w:rsidRPr="00631A9B" w:rsidRDefault="00175D8F" w:rsidP="00AF7301">
      <w:pPr>
        <w:pStyle w:val="IntenseQuote"/>
        <w:spacing w:after="0"/>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9C5092" w:rsidRPr="004D3599" w:rsidRDefault="00C25814" w:rsidP="00F71F60">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Our biggest obstacle is </w:t>
            </w:r>
            <w:r w:rsidR="00F71F60">
              <w:rPr>
                <w:rFonts w:ascii="Franklin Gothic Book" w:hAnsi="Franklin Gothic Book"/>
                <w:color w:val="4F81BD" w:themeColor="accent1"/>
              </w:rPr>
              <w:t>adjusting to</w:t>
            </w:r>
            <w:r>
              <w:rPr>
                <w:rFonts w:ascii="Franklin Gothic Book" w:hAnsi="Franklin Gothic Book"/>
                <w:color w:val="4F81BD" w:themeColor="accent1"/>
              </w:rPr>
              <w:t xml:space="preserve"> peak times and having the necessary staff to assist all students when needed.  This is important so that we can service our students quickly and value their time.  We try to do this while providing outstanding customer service to our internal and e</w:t>
            </w:r>
            <w:r w:rsidR="00F71F60">
              <w:rPr>
                <w:rFonts w:ascii="Franklin Gothic Book" w:hAnsi="Franklin Gothic Book"/>
                <w:color w:val="4F81BD" w:themeColor="accent1"/>
              </w:rPr>
              <w:t xml:space="preserve">xternal candidates.  </w:t>
            </w:r>
            <w:r>
              <w:rPr>
                <w:rFonts w:ascii="Franklin Gothic Book" w:hAnsi="Franklin Gothic Book"/>
                <w:color w:val="4F81BD" w:themeColor="accent1"/>
              </w:rPr>
              <w:t>We do have a small amount of budgetary constraints as another full time employee would help tremendously duri</w:t>
            </w:r>
            <w:r w:rsidR="007877A6">
              <w:rPr>
                <w:rFonts w:ascii="Franklin Gothic Book" w:hAnsi="Franklin Gothic Book"/>
                <w:color w:val="4F81BD" w:themeColor="accent1"/>
              </w:rPr>
              <w:t xml:space="preserve">ng our peak times.  </w:t>
            </w:r>
          </w:p>
        </w:tc>
      </w:tr>
    </w:tbl>
    <w:p w:rsidR="009C5092" w:rsidRDefault="009C5092"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9D427F">
            <w:pPr>
              <w:pStyle w:val="ListParagraph"/>
              <w:ind w:left="0"/>
              <w:rPr>
                <w:rFonts w:ascii="Franklin Gothic Book" w:hAnsi="Franklin Gothic Book"/>
                <w:color w:val="4F81BD" w:themeColor="accent1"/>
              </w:rPr>
            </w:pPr>
          </w:p>
        </w:tc>
      </w:tr>
    </w:tbl>
    <w:p w:rsidR="00B45EE8" w:rsidRPr="00B45EE8" w:rsidRDefault="00B45EE8" w:rsidP="00B45EE8">
      <w:pPr>
        <w:rPr>
          <w:rFonts w:ascii="Franklin Gothic Book" w:hAnsi="Franklin Gothic Book"/>
          <w:b/>
          <w:i/>
          <w:sz w:val="24"/>
        </w:rPr>
      </w:pPr>
      <w:bookmarkStart w:id="0" w:name="_GoBack"/>
      <w:bookmarkEnd w:id="0"/>
      <w:r>
        <w:rPr>
          <w:rFonts w:ascii="Franklin Gothic Book" w:hAnsi="Franklin Gothic Book"/>
          <w:b/>
          <w:i/>
          <w:sz w:val="24"/>
        </w:rPr>
        <w:tab/>
      </w:r>
      <w:r>
        <w:rPr>
          <w:rFonts w:ascii="Franklin Gothic Book" w:hAnsi="Franklin Gothic Book"/>
          <w:b/>
          <w:i/>
          <w:sz w:val="24"/>
        </w:rPr>
        <w:tab/>
      </w:r>
    </w:p>
    <w:sectPr w:rsidR="00B45EE8" w:rsidRPr="00B45EE8" w:rsidSect="00281B68">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3EF" w:rsidRDefault="006143EF" w:rsidP="005834C6">
      <w:pPr>
        <w:spacing w:after="0" w:line="240" w:lineRule="auto"/>
      </w:pPr>
      <w:r>
        <w:separator/>
      </w:r>
    </w:p>
  </w:endnote>
  <w:endnote w:type="continuationSeparator" w:id="0">
    <w:p w:rsidR="006143EF" w:rsidRDefault="006143EF"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D07208" w:rsidRPr="00D07208">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3EF" w:rsidRDefault="006143EF" w:rsidP="005834C6">
      <w:pPr>
        <w:spacing w:after="0" w:line="240" w:lineRule="auto"/>
      </w:pPr>
      <w:r>
        <w:separator/>
      </w:r>
    </w:p>
  </w:footnote>
  <w:footnote w:type="continuationSeparator" w:id="0">
    <w:p w:rsidR="006143EF" w:rsidRDefault="006143EF"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F056A5C"/>
    <w:multiLevelType w:val="hybridMultilevel"/>
    <w:tmpl w:val="23086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2E80D7C"/>
    <w:multiLevelType w:val="multilevel"/>
    <w:tmpl w:val="6D4ED93A"/>
    <w:lvl w:ilvl="0">
      <w:start w:val="1"/>
      <w:numFmt w:val="decimal"/>
      <w:lvlText w:val="%1."/>
      <w:lvlJc w:val="left"/>
      <w:pPr>
        <w:ind w:left="1170" w:hanging="360"/>
      </w:pPr>
      <w:rPr>
        <w:b/>
        <w:i w:val="0"/>
        <w:color w:val="auto"/>
      </w:rPr>
    </w:lvl>
    <w:lvl w:ilvl="1">
      <w:start w:val="3"/>
      <w:numFmt w:val="decimal"/>
      <w:isLgl/>
      <w:lvlText w:val="%1.%2"/>
      <w:lvlJc w:val="left"/>
      <w:pPr>
        <w:ind w:left="1380" w:hanging="57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2"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1"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8D75FF9"/>
    <w:multiLevelType w:val="hybridMultilevel"/>
    <w:tmpl w:val="46FE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504494"/>
    <w:multiLevelType w:val="hybridMultilevel"/>
    <w:tmpl w:val="6A80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1230E4E"/>
    <w:multiLevelType w:val="hybridMultilevel"/>
    <w:tmpl w:val="DB60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66ADB"/>
    <w:multiLevelType w:val="hybridMultilevel"/>
    <w:tmpl w:val="5D18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9"/>
  </w:num>
  <w:num w:numId="2">
    <w:abstractNumId w:val="4"/>
  </w:num>
  <w:num w:numId="3">
    <w:abstractNumId w:val="7"/>
  </w:num>
  <w:num w:numId="4">
    <w:abstractNumId w:val="30"/>
  </w:num>
  <w:num w:numId="5">
    <w:abstractNumId w:val="0"/>
  </w:num>
  <w:num w:numId="6">
    <w:abstractNumId w:val="22"/>
  </w:num>
  <w:num w:numId="7">
    <w:abstractNumId w:val="20"/>
  </w:num>
  <w:num w:numId="8">
    <w:abstractNumId w:val="40"/>
  </w:num>
  <w:num w:numId="9">
    <w:abstractNumId w:val="16"/>
  </w:num>
  <w:num w:numId="10">
    <w:abstractNumId w:val="34"/>
  </w:num>
  <w:num w:numId="11">
    <w:abstractNumId w:val="15"/>
  </w:num>
  <w:num w:numId="12">
    <w:abstractNumId w:val="37"/>
  </w:num>
  <w:num w:numId="13">
    <w:abstractNumId w:val="38"/>
  </w:num>
  <w:num w:numId="14">
    <w:abstractNumId w:val="13"/>
  </w:num>
  <w:num w:numId="15">
    <w:abstractNumId w:val="23"/>
  </w:num>
  <w:num w:numId="16">
    <w:abstractNumId w:val="17"/>
  </w:num>
  <w:num w:numId="17">
    <w:abstractNumId w:val="24"/>
  </w:num>
  <w:num w:numId="18">
    <w:abstractNumId w:val="29"/>
  </w:num>
  <w:num w:numId="19">
    <w:abstractNumId w:val="14"/>
  </w:num>
  <w:num w:numId="20">
    <w:abstractNumId w:val="6"/>
  </w:num>
  <w:num w:numId="21">
    <w:abstractNumId w:val="2"/>
  </w:num>
  <w:num w:numId="22">
    <w:abstractNumId w:val="21"/>
  </w:num>
  <w:num w:numId="23">
    <w:abstractNumId w:val="1"/>
  </w:num>
  <w:num w:numId="24">
    <w:abstractNumId w:val="12"/>
  </w:num>
  <w:num w:numId="25">
    <w:abstractNumId w:val="18"/>
  </w:num>
  <w:num w:numId="26">
    <w:abstractNumId w:val="8"/>
  </w:num>
  <w:num w:numId="27">
    <w:abstractNumId w:val="26"/>
  </w:num>
  <w:num w:numId="28">
    <w:abstractNumId w:val="31"/>
  </w:num>
  <w:num w:numId="29">
    <w:abstractNumId w:val="5"/>
  </w:num>
  <w:num w:numId="30">
    <w:abstractNumId w:val="41"/>
  </w:num>
  <w:num w:numId="31">
    <w:abstractNumId w:val="28"/>
  </w:num>
  <w:num w:numId="32">
    <w:abstractNumId w:val="11"/>
  </w:num>
  <w:num w:numId="33">
    <w:abstractNumId w:val="27"/>
  </w:num>
  <w:num w:numId="34">
    <w:abstractNumId w:val="19"/>
  </w:num>
  <w:num w:numId="35">
    <w:abstractNumId w:val="10"/>
  </w:num>
  <w:num w:numId="36">
    <w:abstractNumId w:val="9"/>
  </w:num>
  <w:num w:numId="37">
    <w:abstractNumId w:val="25"/>
  </w:num>
  <w:num w:numId="38">
    <w:abstractNumId w:val="36"/>
  </w:num>
  <w:num w:numId="39">
    <w:abstractNumId w:val="32"/>
  </w:num>
  <w:num w:numId="40">
    <w:abstractNumId w:val="3"/>
  </w:num>
  <w:num w:numId="41">
    <w:abstractNumId w:val="3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4213"/>
    <w:rsid w:val="0000660E"/>
    <w:rsid w:val="00010D35"/>
    <w:rsid w:val="000113DB"/>
    <w:rsid w:val="00011E99"/>
    <w:rsid w:val="0001324D"/>
    <w:rsid w:val="00016149"/>
    <w:rsid w:val="000173C4"/>
    <w:rsid w:val="0002055D"/>
    <w:rsid w:val="00032166"/>
    <w:rsid w:val="00036995"/>
    <w:rsid w:val="00037EE4"/>
    <w:rsid w:val="0006458F"/>
    <w:rsid w:val="000649F1"/>
    <w:rsid w:val="00066BF5"/>
    <w:rsid w:val="00071692"/>
    <w:rsid w:val="000844C9"/>
    <w:rsid w:val="0009106E"/>
    <w:rsid w:val="000B5B02"/>
    <w:rsid w:val="000C410A"/>
    <w:rsid w:val="000C7DF3"/>
    <w:rsid w:val="000C7ED0"/>
    <w:rsid w:val="000E73E1"/>
    <w:rsid w:val="000F190E"/>
    <w:rsid w:val="000F1B84"/>
    <w:rsid w:val="000F28EB"/>
    <w:rsid w:val="00101040"/>
    <w:rsid w:val="00114123"/>
    <w:rsid w:val="001277A4"/>
    <w:rsid w:val="0015287B"/>
    <w:rsid w:val="0015620B"/>
    <w:rsid w:val="001712F8"/>
    <w:rsid w:val="00171D06"/>
    <w:rsid w:val="0017254E"/>
    <w:rsid w:val="0017415F"/>
    <w:rsid w:val="00175D8F"/>
    <w:rsid w:val="001A2394"/>
    <w:rsid w:val="001A6A0D"/>
    <w:rsid w:val="001A6CC5"/>
    <w:rsid w:val="001B00A0"/>
    <w:rsid w:val="001C3D6B"/>
    <w:rsid w:val="001C4427"/>
    <w:rsid w:val="001E182B"/>
    <w:rsid w:val="001E1DF9"/>
    <w:rsid w:val="001E5673"/>
    <w:rsid w:val="001E6F0A"/>
    <w:rsid w:val="002063F7"/>
    <w:rsid w:val="00210504"/>
    <w:rsid w:val="00210C10"/>
    <w:rsid w:val="00213F55"/>
    <w:rsid w:val="00231CB3"/>
    <w:rsid w:val="00235CDC"/>
    <w:rsid w:val="00245107"/>
    <w:rsid w:val="00246A14"/>
    <w:rsid w:val="00251A53"/>
    <w:rsid w:val="002556B2"/>
    <w:rsid w:val="002639A7"/>
    <w:rsid w:val="00267773"/>
    <w:rsid w:val="002731E4"/>
    <w:rsid w:val="0027477E"/>
    <w:rsid w:val="00281B68"/>
    <w:rsid w:val="00284449"/>
    <w:rsid w:val="00286FA2"/>
    <w:rsid w:val="002915B8"/>
    <w:rsid w:val="00293945"/>
    <w:rsid w:val="00294E38"/>
    <w:rsid w:val="00295BB1"/>
    <w:rsid w:val="002978D9"/>
    <w:rsid w:val="002A0EA6"/>
    <w:rsid w:val="002A262A"/>
    <w:rsid w:val="002A625D"/>
    <w:rsid w:val="002B667B"/>
    <w:rsid w:val="002C5602"/>
    <w:rsid w:val="002C69B8"/>
    <w:rsid w:val="002C6E61"/>
    <w:rsid w:val="002F24F9"/>
    <w:rsid w:val="002F2F64"/>
    <w:rsid w:val="002F4743"/>
    <w:rsid w:val="002F6066"/>
    <w:rsid w:val="00312BB6"/>
    <w:rsid w:val="00317B6F"/>
    <w:rsid w:val="003366F1"/>
    <w:rsid w:val="00337131"/>
    <w:rsid w:val="0034352B"/>
    <w:rsid w:val="003630E9"/>
    <w:rsid w:val="00364A7D"/>
    <w:rsid w:val="00365545"/>
    <w:rsid w:val="003714A0"/>
    <w:rsid w:val="0037417D"/>
    <w:rsid w:val="00380696"/>
    <w:rsid w:val="003838ED"/>
    <w:rsid w:val="0038644E"/>
    <w:rsid w:val="00393558"/>
    <w:rsid w:val="003A175F"/>
    <w:rsid w:val="003B4393"/>
    <w:rsid w:val="003B51A0"/>
    <w:rsid w:val="003C2958"/>
    <w:rsid w:val="003C52A8"/>
    <w:rsid w:val="003E1850"/>
    <w:rsid w:val="003E2E96"/>
    <w:rsid w:val="003E3127"/>
    <w:rsid w:val="003E632D"/>
    <w:rsid w:val="003F1D3C"/>
    <w:rsid w:val="003F2A33"/>
    <w:rsid w:val="003F4004"/>
    <w:rsid w:val="0040289C"/>
    <w:rsid w:val="00404E33"/>
    <w:rsid w:val="00422043"/>
    <w:rsid w:val="0042347B"/>
    <w:rsid w:val="00440BAC"/>
    <w:rsid w:val="004437A5"/>
    <w:rsid w:val="004449EB"/>
    <w:rsid w:val="004540F6"/>
    <w:rsid w:val="00457615"/>
    <w:rsid w:val="0046202F"/>
    <w:rsid w:val="004A058A"/>
    <w:rsid w:val="004D0433"/>
    <w:rsid w:val="004D3599"/>
    <w:rsid w:val="004D4390"/>
    <w:rsid w:val="004D6468"/>
    <w:rsid w:val="004E2929"/>
    <w:rsid w:val="004E44A7"/>
    <w:rsid w:val="004E772B"/>
    <w:rsid w:val="004F0BAC"/>
    <w:rsid w:val="004F3A91"/>
    <w:rsid w:val="00503388"/>
    <w:rsid w:val="005260E8"/>
    <w:rsid w:val="0054629C"/>
    <w:rsid w:val="005462B5"/>
    <w:rsid w:val="0054677C"/>
    <w:rsid w:val="00550262"/>
    <w:rsid w:val="0055152A"/>
    <w:rsid w:val="00555F6F"/>
    <w:rsid w:val="00556829"/>
    <w:rsid w:val="0056020F"/>
    <w:rsid w:val="00562EBC"/>
    <w:rsid w:val="005670D5"/>
    <w:rsid w:val="0057664D"/>
    <w:rsid w:val="00577F97"/>
    <w:rsid w:val="005834C6"/>
    <w:rsid w:val="005A53C4"/>
    <w:rsid w:val="005B7109"/>
    <w:rsid w:val="005B7906"/>
    <w:rsid w:val="005C7497"/>
    <w:rsid w:val="005D0E07"/>
    <w:rsid w:val="0060185F"/>
    <w:rsid w:val="00607F64"/>
    <w:rsid w:val="00611F9E"/>
    <w:rsid w:val="006143EF"/>
    <w:rsid w:val="00614426"/>
    <w:rsid w:val="00627AAF"/>
    <w:rsid w:val="00631A9B"/>
    <w:rsid w:val="00641E9D"/>
    <w:rsid w:val="00653270"/>
    <w:rsid w:val="0065490E"/>
    <w:rsid w:val="006643BA"/>
    <w:rsid w:val="00665E50"/>
    <w:rsid w:val="006724A1"/>
    <w:rsid w:val="00674CA1"/>
    <w:rsid w:val="00676D30"/>
    <w:rsid w:val="006810F7"/>
    <w:rsid w:val="006B028F"/>
    <w:rsid w:val="006B0776"/>
    <w:rsid w:val="006B392A"/>
    <w:rsid w:val="006B4ACA"/>
    <w:rsid w:val="006C0551"/>
    <w:rsid w:val="006C15F9"/>
    <w:rsid w:val="006C46FD"/>
    <w:rsid w:val="006D1BC2"/>
    <w:rsid w:val="006D1CE7"/>
    <w:rsid w:val="006D3A37"/>
    <w:rsid w:val="006D73C5"/>
    <w:rsid w:val="006D7A03"/>
    <w:rsid w:val="00702139"/>
    <w:rsid w:val="007207AB"/>
    <w:rsid w:val="00724DB0"/>
    <w:rsid w:val="00734407"/>
    <w:rsid w:val="007405F8"/>
    <w:rsid w:val="007525CB"/>
    <w:rsid w:val="0075447A"/>
    <w:rsid w:val="00755196"/>
    <w:rsid w:val="007563CD"/>
    <w:rsid w:val="00770313"/>
    <w:rsid w:val="00780BF1"/>
    <w:rsid w:val="007866E4"/>
    <w:rsid w:val="007877A6"/>
    <w:rsid w:val="007A14CD"/>
    <w:rsid w:val="007A2C78"/>
    <w:rsid w:val="007A4B36"/>
    <w:rsid w:val="007A5DC3"/>
    <w:rsid w:val="007B01A6"/>
    <w:rsid w:val="007B102F"/>
    <w:rsid w:val="007B3292"/>
    <w:rsid w:val="007B4AAB"/>
    <w:rsid w:val="007B64E4"/>
    <w:rsid w:val="007B65A5"/>
    <w:rsid w:val="007C345D"/>
    <w:rsid w:val="007C7343"/>
    <w:rsid w:val="007D7BD2"/>
    <w:rsid w:val="007E1243"/>
    <w:rsid w:val="007E240D"/>
    <w:rsid w:val="007E5CB6"/>
    <w:rsid w:val="007E6E01"/>
    <w:rsid w:val="007F0D4B"/>
    <w:rsid w:val="00801A86"/>
    <w:rsid w:val="00802E3D"/>
    <w:rsid w:val="00803626"/>
    <w:rsid w:val="008158E0"/>
    <w:rsid w:val="008162E2"/>
    <w:rsid w:val="0082384D"/>
    <w:rsid w:val="008305BD"/>
    <w:rsid w:val="008320FA"/>
    <w:rsid w:val="00833092"/>
    <w:rsid w:val="00843337"/>
    <w:rsid w:val="008457D9"/>
    <w:rsid w:val="008463EE"/>
    <w:rsid w:val="00856252"/>
    <w:rsid w:val="00861557"/>
    <w:rsid w:val="00862726"/>
    <w:rsid w:val="008647A1"/>
    <w:rsid w:val="00874E28"/>
    <w:rsid w:val="00875A4E"/>
    <w:rsid w:val="008A4081"/>
    <w:rsid w:val="008A40AD"/>
    <w:rsid w:val="008A593D"/>
    <w:rsid w:val="008B36B2"/>
    <w:rsid w:val="008B648F"/>
    <w:rsid w:val="008C236C"/>
    <w:rsid w:val="008C4877"/>
    <w:rsid w:val="008C63CF"/>
    <w:rsid w:val="008D44A5"/>
    <w:rsid w:val="008E274E"/>
    <w:rsid w:val="008E288B"/>
    <w:rsid w:val="008E3418"/>
    <w:rsid w:val="008F43B9"/>
    <w:rsid w:val="00900939"/>
    <w:rsid w:val="00901160"/>
    <w:rsid w:val="0090425C"/>
    <w:rsid w:val="009152E2"/>
    <w:rsid w:val="0093020E"/>
    <w:rsid w:val="0093116C"/>
    <w:rsid w:val="0093270A"/>
    <w:rsid w:val="00933684"/>
    <w:rsid w:val="00951107"/>
    <w:rsid w:val="00954F23"/>
    <w:rsid w:val="00955D69"/>
    <w:rsid w:val="00964FC7"/>
    <w:rsid w:val="00966B5A"/>
    <w:rsid w:val="00970BF7"/>
    <w:rsid w:val="00974421"/>
    <w:rsid w:val="00981CE8"/>
    <w:rsid w:val="00983C3F"/>
    <w:rsid w:val="00983F6D"/>
    <w:rsid w:val="00993B54"/>
    <w:rsid w:val="00995C66"/>
    <w:rsid w:val="00997374"/>
    <w:rsid w:val="009A46F9"/>
    <w:rsid w:val="009B2F85"/>
    <w:rsid w:val="009B3CC2"/>
    <w:rsid w:val="009B7466"/>
    <w:rsid w:val="009B754E"/>
    <w:rsid w:val="009C0DCC"/>
    <w:rsid w:val="009C1821"/>
    <w:rsid w:val="009C3D10"/>
    <w:rsid w:val="009C5092"/>
    <w:rsid w:val="009D67B9"/>
    <w:rsid w:val="009D72B5"/>
    <w:rsid w:val="009D7AC4"/>
    <w:rsid w:val="009F126C"/>
    <w:rsid w:val="009F5EF0"/>
    <w:rsid w:val="00A0055F"/>
    <w:rsid w:val="00A00E1A"/>
    <w:rsid w:val="00A00FAA"/>
    <w:rsid w:val="00A06122"/>
    <w:rsid w:val="00A1459B"/>
    <w:rsid w:val="00A27DEC"/>
    <w:rsid w:val="00A30A78"/>
    <w:rsid w:val="00A31F1A"/>
    <w:rsid w:val="00A332E6"/>
    <w:rsid w:val="00A33813"/>
    <w:rsid w:val="00A350F8"/>
    <w:rsid w:val="00A35DB7"/>
    <w:rsid w:val="00A56751"/>
    <w:rsid w:val="00A609F2"/>
    <w:rsid w:val="00A67AE7"/>
    <w:rsid w:val="00A70BC4"/>
    <w:rsid w:val="00A74661"/>
    <w:rsid w:val="00A773F1"/>
    <w:rsid w:val="00A801E9"/>
    <w:rsid w:val="00A83996"/>
    <w:rsid w:val="00A86B2A"/>
    <w:rsid w:val="00A90011"/>
    <w:rsid w:val="00AA335F"/>
    <w:rsid w:val="00AA3AEA"/>
    <w:rsid w:val="00AB0998"/>
    <w:rsid w:val="00AB442E"/>
    <w:rsid w:val="00AB6E95"/>
    <w:rsid w:val="00AC35A1"/>
    <w:rsid w:val="00AC6E50"/>
    <w:rsid w:val="00AD1D7B"/>
    <w:rsid w:val="00AD460A"/>
    <w:rsid w:val="00AE0BC4"/>
    <w:rsid w:val="00AE0FA8"/>
    <w:rsid w:val="00AE17A1"/>
    <w:rsid w:val="00AE1BA1"/>
    <w:rsid w:val="00AE1D23"/>
    <w:rsid w:val="00AE60BE"/>
    <w:rsid w:val="00AE72CE"/>
    <w:rsid w:val="00AF24AD"/>
    <w:rsid w:val="00AF7301"/>
    <w:rsid w:val="00B01E2C"/>
    <w:rsid w:val="00B04FA7"/>
    <w:rsid w:val="00B05D0E"/>
    <w:rsid w:val="00B06F9B"/>
    <w:rsid w:val="00B12AAC"/>
    <w:rsid w:val="00B21FC0"/>
    <w:rsid w:val="00B24ED5"/>
    <w:rsid w:val="00B30FA5"/>
    <w:rsid w:val="00B33878"/>
    <w:rsid w:val="00B375AD"/>
    <w:rsid w:val="00B44846"/>
    <w:rsid w:val="00B45EE8"/>
    <w:rsid w:val="00B618DA"/>
    <w:rsid w:val="00B64A21"/>
    <w:rsid w:val="00B66ABF"/>
    <w:rsid w:val="00B73C41"/>
    <w:rsid w:val="00B742C3"/>
    <w:rsid w:val="00B75FDC"/>
    <w:rsid w:val="00B8630B"/>
    <w:rsid w:val="00B96B6B"/>
    <w:rsid w:val="00BA5FD7"/>
    <w:rsid w:val="00BB19E8"/>
    <w:rsid w:val="00BB1C87"/>
    <w:rsid w:val="00BB6651"/>
    <w:rsid w:val="00BC2C75"/>
    <w:rsid w:val="00BD1F58"/>
    <w:rsid w:val="00BE48BC"/>
    <w:rsid w:val="00C14035"/>
    <w:rsid w:val="00C140E0"/>
    <w:rsid w:val="00C17AC3"/>
    <w:rsid w:val="00C25814"/>
    <w:rsid w:val="00C32970"/>
    <w:rsid w:val="00C35B42"/>
    <w:rsid w:val="00C37A81"/>
    <w:rsid w:val="00C4372B"/>
    <w:rsid w:val="00C44020"/>
    <w:rsid w:val="00C64A7C"/>
    <w:rsid w:val="00C6787C"/>
    <w:rsid w:val="00C75ED7"/>
    <w:rsid w:val="00C91B03"/>
    <w:rsid w:val="00CA0371"/>
    <w:rsid w:val="00CB0260"/>
    <w:rsid w:val="00CB6DC4"/>
    <w:rsid w:val="00CC3149"/>
    <w:rsid w:val="00CC7E78"/>
    <w:rsid w:val="00CD3270"/>
    <w:rsid w:val="00CD6C97"/>
    <w:rsid w:val="00CE52FA"/>
    <w:rsid w:val="00D008A8"/>
    <w:rsid w:val="00D03659"/>
    <w:rsid w:val="00D07208"/>
    <w:rsid w:val="00D11FFB"/>
    <w:rsid w:val="00D12FA2"/>
    <w:rsid w:val="00D13B21"/>
    <w:rsid w:val="00D14CCD"/>
    <w:rsid w:val="00D22FE0"/>
    <w:rsid w:val="00D30426"/>
    <w:rsid w:val="00D31C93"/>
    <w:rsid w:val="00D379AB"/>
    <w:rsid w:val="00D37FCD"/>
    <w:rsid w:val="00D42D3F"/>
    <w:rsid w:val="00D45714"/>
    <w:rsid w:val="00D5122A"/>
    <w:rsid w:val="00D53436"/>
    <w:rsid w:val="00D54E6A"/>
    <w:rsid w:val="00D63EA1"/>
    <w:rsid w:val="00D701ED"/>
    <w:rsid w:val="00D7301B"/>
    <w:rsid w:val="00D76B2E"/>
    <w:rsid w:val="00D96362"/>
    <w:rsid w:val="00DA3F0D"/>
    <w:rsid w:val="00DB49B3"/>
    <w:rsid w:val="00DB4F93"/>
    <w:rsid w:val="00DB5890"/>
    <w:rsid w:val="00DC0330"/>
    <w:rsid w:val="00DD0152"/>
    <w:rsid w:val="00DD27F9"/>
    <w:rsid w:val="00DD3893"/>
    <w:rsid w:val="00DE096E"/>
    <w:rsid w:val="00DE2128"/>
    <w:rsid w:val="00DE5764"/>
    <w:rsid w:val="00E02198"/>
    <w:rsid w:val="00E11859"/>
    <w:rsid w:val="00E13FD9"/>
    <w:rsid w:val="00E21ACE"/>
    <w:rsid w:val="00E25B42"/>
    <w:rsid w:val="00E26794"/>
    <w:rsid w:val="00E34BC3"/>
    <w:rsid w:val="00E36D44"/>
    <w:rsid w:val="00E37BA9"/>
    <w:rsid w:val="00E4054C"/>
    <w:rsid w:val="00E44A7C"/>
    <w:rsid w:val="00E54AC3"/>
    <w:rsid w:val="00E5779F"/>
    <w:rsid w:val="00E67483"/>
    <w:rsid w:val="00E72FDF"/>
    <w:rsid w:val="00EA1690"/>
    <w:rsid w:val="00EA17B8"/>
    <w:rsid w:val="00EA7713"/>
    <w:rsid w:val="00EC6AA6"/>
    <w:rsid w:val="00ED120D"/>
    <w:rsid w:val="00ED6BB6"/>
    <w:rsid w:val="00EF0844"/>
    <w:rsid w:val="00EF5CF9"/>
    <w:rsid w:val="00F150D3"/>
    <w:rsid w:val="00F227A2"/>
    <w:rsid w:val="00F25085"/>
    <w:rsid w:val="00F5389C"/>
    <w:rsid w:val="00F56423"/>
    <w:rsid w:val="00F57C25"/>
    <w:rsid w:val="00F60BF2"/>
    <w:rsid w:val="00F71F60"/>
    <w:rsid w:val="00F73063"/>
    <w:rsid w:val="00F760F4"/>
    <w:rsid w:val="00F80AA0"/>
    <w:rsid w:val="00F915DC"/>
    <w:rsid w:val="00F93E99"/>
    <w:rsid w:val="00FA3E34"/>
    <w:rsid w:val="00FB217C"/>
    <w:rsid w:val="00FB2451"/>
    <w:rsid w:val="00FB5D2B"/>
    <w:rsid w:val="00FB73BD"/>
    <w:rsid w:val="00FC064F"/>
    <w:rsid w:val="00FC0E9C"/>
    <w:rsid w:val="00FD34F3"/>
    <w:rsid w:val="00FD59DA"/>
    <w:rsid w:val="00FE262A"/>
    <w:rsid w:val="00FE5FCE"/>
    <w:rsid w:val="00FE6655"/>
    <w:rsid w:val="00FF0E36"/>
    <w:rsid w:val="00FF4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47142AE-361D-4F08-BBE1-C15C3F20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rts.thecb.state.tx.us/approot/thecbrw/cbm_reporting_ex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tx.edu/iea/filecabinet/4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66DDE-993B-4B3A-B588-FCBC5D4CF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D. Castro</dc:creator>
  <cp:lastModifiedBy>Kristin D. McDonald-Willey</cp:lastModifiedBy>
  <cp:revision>4</cp:revision>
  <cp:lastPrinted>2015-06-23T15:30:00Z</cp:lastPrinted>
  <dcterms:created xsi:type="dcterms:W3CDTF">2016-07-10T20:44:00Z</dcterms:created>
  <dcterms:modified xsi:type="dcterms:W3CDTF">2016-07-10T20:53:00Z</dcterms:modified>
</cp:coreProperties>
</file>