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E76D42">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C7E00" id="Rectangle 1" o:spid="_x0000_s1026" style="position:absolute;margin-left:185.45pt;margin-top:-9.1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E76D42">
        <w:rPr>
          <w:rFonts w:asciiTheme="majorHAnsi" w:hAnsiTheme="majorHAnsi"/>
          <w:b/>
          <w:color w:val="EEECE1" w:themeColor="background2"/>
          <w:sz w:val="24"/>
        </w:rPr>
        <w:t xml:space="preserve"> Annual Review</w:t>
      </w:r>
      <w:r w:rsidR="00E76D42">
        <w:rPr>
          <w:rFonts w:asciiTheme="majorHAnsi" w:hAnsiTheme="majorHAnsi"/>
          <w:b/>
          <w:color w:val="EEECE1" w:themeColor="background2"/>
          <w:sz w:val="24"/>
        </w:rPr>
        <w:br/>
      </w:r>
      <w:r w:rsidR="00886D06">
        <w:rPr>
          <w:rFonts w:asciiTheme="majorHAnsi" w:hAnsiTheme="majorHAnsi"/>
          <w:b/>
          <w:color w:val="EEECE1" w:themeColor="background2"/>
          <w:sz w:val="24"/>
        </w:rPr>
        <w:t>Extended Programs</w:t>
      </w:r>
      <w:bookmarkStart w:id="0" w:name="_GoBack"/>
      <w:bookmarkEnd w:id="0"/>
    </w:p>
    <w:p w:rsidR="006D1CE7" w:rsidRPr="007E1243" w:rsidRDefault="00DD3893" w:rsidP="00E76D42">
      <w:pPr>
        <w:tabs>
          <w:tab w:val="center" w:pos="5850"/>
        </w:tabs>
        <w:ind w:left="936"/>
        <w:rPr>
          <w:sz w:val="20"/>
          <w:szCs w:val="20"/>
        </w:rPr>
      </w:pPr>
      <w:r>
        <w:br/>
      </w:r>
      <w:r w:rsidR="00E76D42" w:rsidRPr="00CF0133">
        <w:rPr>
          <w:sz w:val="20"/>
          <w:szCs w:val="20"/>
        </w:rPr>
        <w:t xml:space="preserve">This document addresses the following SACSCOC requirements: CR 2.5, CS 3.3.1, and CS 3.5.1, CR 3.9.2, CR 3.13.3, and </w:t>
      </w:r>
      <w:r w:rsidR="00E76D42" w:rsidRPr="00CF0133">
        <w:rPr>
          <w:sz w:val="20"/>
          <w:szCs w:val="20"/>
        </w:rPr>
        <w:br/>
        <w:t>FR 4.5</w:t>
      </w:r>
    </w:p>
    <w:p w:rsidR="00CB6DC4" w:rsidRPr="00CB6DC4" w:rsidRDefault="00CB6DC4" w:rsidP="00E76D42">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E76D42">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84"/>
      </w:tblGrid>
      <w:tr w:rsidR="004D3599" w:rsidTr="00D16D01">
        <w:trPr>
          <w:trHeight w:val="253"/>
        </w:trPr>
        <w:tc>
          <w:tcPr>
            <w:tcW w:w="8684" w:type="dxa"/>
          </w:tcPr>
          <w:p w:rsidR="004D3599" w:rsidRPr="004D3599" w:rsidRDefault="00D16D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Extended Programs</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D16D0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Department of Extended programs supports Amarillo College departments /offices and outside entities by administering policy, coordinating services and implementing procedures to help dual credit and dual degree students succeed.</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D16D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D16D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March 18, 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D16D01">
              <w:rPr>
                <w:rFonts w:ascii="Franklin Gothic Book" w:hAnsi="Franklin Gothic Book"/>
                <w:color w:val="4F81BD" w:themeColor="accent1"/>
              </w:rPr>
              <w:t xml:space="preserve"> Lou Ann Seabourn</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D16D01">
              <w:rPr>
                <w:rFonts w:ascii="Franklin Gothic Book" w:hAnsi="Franklin Gothic Book"/>
                <w:color w:val="4F81BD" w:themeColor="accent1"/>
              </w:rPr>
              <w:t xml:space="preserve"> Director of Academic Outreach</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D16D01">
              <w:rPr>
                <w:rFonts w:ascii="Franklin Gothic Book" w:hAnsi="Franklin Gothic Book"/>
                <w:color w:val="4F81BD" w:themeColor="accent1"/>
              </w:rPr>
              <w:t xml:space="preserve"> laseabourn@actx.edu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D16D01">
              <w:rPr>
                <w:rFonts w:ascii="Franklin Gothic Book" w:hAnsi="Franklin Gothic Book"/>
                <w:color w:val="4F81BD" w:themeColor="accent1"/>
              </w:rPr>
              <w:t>806-371-5122</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D16D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Dr. Deborah Vess</w:t>
            </w: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09106E">
      <w:pPr>
        <w:pStyle w:val="ListParagraph"/>
        <w:ind w:left="2070"/>
        <w:rPr>
          <w:b/>
          <w:bCs/>
          <w:i/>
          <w:iCs/>
          <w:color w:val="4F81BD" w:themeColor="accent1"/>
          <w:sz w:val="24"/>
        </w:rPr>
      </w:pPr>
    </w:p>
    <w:p w:rsidR="00E76D42" w:rsidRPr="00CB6DC4" w:rsidRDefault="00E76D42" w:rsidP="0009106E">
      <w:pPr>
        <w:pStyle w:val="ListParagraph"/>
        <w:ind w:left="2070"/>
        <w:rPr>
          <w:b/>
          <w:bCs/>
          <w:i/>
          <w:iCs/>
          <w:color w:val="4F81BD" w:themeColor="accent1"/>
          <w:sz w:val="24"/>
        </w:rPr>
      </w:pPr>
    </w:p>
    <w:p w:rsidR="00281B68" w:rsidRPr="00213F55" w:rsidRDefault="00281B68" w:rsidP="00E76D42">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D16D01" w:rsidRDefault="00D16D01" w:rsidP="00D16D01">
            <w:pPr>
              <w:pStyle w:val="ListParagraph"/>
              <w:ind w:left="0"/>
              <w:rPr>
                <w:rFonts w:ascii="Franklin Gothic Book" w:hAnsi="Franklin Gothic Book"/>
                <w:color w:val="4F81BD" w:themeColor="accent1"/>
              </w:rPr>
            </w:pPr>
            <w:r>
              <w:rPr>
                <w:rFonts w:ascii="Franklin Gothic Book" w:hAnsi="Franklin Gothic Book"/>
                <w:color w:val="4F81BD" w:themeColor="accent1"/>
              </w:rPr>
              <w:t>The Registrar submits the following reports that include dual credit data:</w:t>
            </w:r>
          </w:p>
          <w:p w:rsidR="00D16D01" w:rsidRDefault="00D16D01" w:rsidP="00D16D01">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CBM001 is an enrollment report that is submitted to the THECB each semester</w:t>
            </w:r>
          </w:p>
          <w:p w:rsidR="007866E4" w:rsidRPr="004D3599" w:rsidRDefault="00510A26"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CB</w:t>
            </w:r>
            <w:r w:rsidR="00D16D01">
              <w:rPr>
                <w:rFonts w:ascii="Franklin Gothic Book" w:hAnsi="Franklin Gothic Book"/>
                <w:color w:val="4F81BD" w:themeColor="accent1"/>
              </w:rPr>
              <w:t>M00S is an end of term report detailing courses and grades on the final class day</w:t>
            </w:r>
          </w:p>
          <w:p w:rsidR="007866E4" w:rsidRDefault="00D16D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CBM0E1 is an end of term enrollment report for the final day of class</w:t>
            </w:r>
          </w:p>
          <w:p w:rsidR="00D16D01" w:rsidRDefault="00D16D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I do not keep or collect this data. It is controlled by the Registrar.</w:t>
            </w:r>
          </w:p>
          <w:p w:rsidR="00D16D01" w:rsidRDefault="00D16D01" w:rsidP="009D427F">
            <w:pPr>
              <w:pStyle w:val="ListParagraph"/>
              <w:ind w:left="0"/>
              <w:rPr>
                <w:rFonts w:ascii="Franklin Gothic Book" w:hAnsi="Franklin Gothic Book"/>
                <w:color w:val="4F81BD" w:themeColor="accent1"/>
              </w:rPr>
            </w:pPr>
          </w:p>
          <w:p w:rsidR="00D16D01" w:rsidRPr="004D3599" w:rsidRDefault="00D16D0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 am currently working with AC’s Institutional Research Department to be able to collect yearly data including enrollments, pass rates and drop rates. As soon as this query is complete in Business Objects, I will be able to collect this data. I have been requesting this data since 2012. I think we are currently on the right track. </w:t>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510A26" w:rsidRDefault="00510A26" w:rsidP="00510A26">
            <w:pPr>
              <w:rPr>
                <w:rFonts w:ascii="Franklin Gothic Book" w:hAnsi="Franklin Gothic Book"/>
              </w:rPr>
            </w:pPr>
            <w:r w:rsidRPr="00510A26">
              <w:rPr>
                <w:rFonts w:ascii="Franklin Gothic Book" w:hAnsi="Franklin Gothic Book"/>
              </w:rPr>
              <w:t>1.</w:t>
            </w:r>
            <w:r>
              <w:rPr>
                <w:rFonts w:ascii="Franklin Gothic Book" w:hAnsi="Franklin Gothic Book"/>
              </w:rPr>
              <w:t xml:space="preserve"> </w:t>
            </w:r>
            <w:r w:rsidRPr="00510A26">
              <w:rPr>
                <w:rFonts w:ascii="Franklin Gothic Book" w:hAnsi="Franklin Gothic Book"/>
              </w:rPr>
              <w:t>CBM Reports</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510A26"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4.</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510A26"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I would like to be able to see how the dual credit students are</w:t>
            </w:r>
            <w:r w:rsidR="001F4F76">
              <w:rPr>
                <w:rFonts w:ascii="Franklin Gothic Book" w:hAnsi="Franklin Gothic Book"/>
                <w:color w:val="4F81BD" w:themeColor="accent1"/>
              </w:rPr>
              <w:t xml:space="preserve"> doing. It is hard to improve if</w:t>
            </w:r>
            <w:r>
              <w:rPr>
                <w:rFonts w:ascii="Franklin Gothic Book" w:hAnsi="Franklin Gothic Book"/>
                <w:color w:val="4F81BD" w:themeColor="accent1"/>
              </w:rPr>
              <w:t xml:space="preserve"> you are not sure of the problem. I believe that the new query in Business Objects will allow the Department to do better analysis</w:t>
            </w:r>
            <w:r w:rsidR="001F4F76">
              <w:rPr>
                <w:rFonts w:ascii="Franklin Gothic Book" w:hAnsi="Franklin Gothic Book"/>
                <w:color w:val="4F81BD" w:themeColor="accent1"/>
              </w:rPr>
              <w:t>.</w:t>
            </w:r>
          </w:p>
          <w:p w:rsidR="00D30426" w:rsidRPr="004D3599" w:rsidRDefault="00510A26"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I need to be able to provide schools with more data about their students. The new query in Business Objects will allow me the ability to do this.</w:t>
            </w: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3B70A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Reports will be sent to high school</w:t>
            </w:r>
            <w:r w:rsidR="00CC7F40">
              <w:rPr>
                <w:rFonts w:ascii="Franklin Gothic Book" w:hAnsi="Franklin Gothic Book"/>
                <w:color w:val="4F81BD" w:themeColor="accent1"/>
              </w:rPr>
              <w:t xml:space="preserve">s showing the success </w:t>
            </w:r>
            <w:r>
              <w:rPr>
                <w:rFonts w:ascii="Franklin Gothic Book" w:hAnsi="Franklin Gothic Book"/>
                <w:color w:val="4F81BD" w:themeColor="accent1"/>
              </w:rPr>
              <w:t xml:space="preserve">and completion rates of their dual credit students. </w:t>
            </w: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E76D42">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19334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186DF0">
            <w:pPr>
              <w:pStyle w:val="ListParagraph"/>
              <w:ind w:left="0"/>
              <w:rPr>
                <w:rFonts w:ascii="Franklin Gothic Book" w:hAnsi="Franklin Gothic Book"/>
                <w:color w:val="4F81BD" w:themeColor="accent1"/>
              </w:rPr>
            </w:pP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(If applicable) Based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193343"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Currently a statewide task force has been organized by TACC regarding dual credit. Amarillo College is participating in this study. </w:t>
            </w:r>
          </w:p>
          <w:p w:rsidR="00E747DD" w:rsidRDefault="00E747DD" w:rsidP="009D427F">
            <w:pPr>
              <w:pStyle w:val="ListParagraph"/>
              <w:ind w:left="0"/>
              <w:rPr>
                <w:rFonts w:ascii="Franklin Gothic Book" w:hAnsi="Franklin Gothic Book"/>
                <w:color w:val="4F81BD" w:themeColor="accent1"/>
              </w:rPr>
            </w:pPr>
          </w:p>
          <w:p w:rsidR="00E747DD" w:rsidRDefault="00E747DD"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 constantly monitor list serves and THECB notices concerning dual credit and study any data available. </w:t>
            </w: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E76D42">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17460" w:type="dxa"/>
        <w:tblInd w:w="1278" w:type="dxa"/>
        <w:tblLook w:val="04A0" w:firstRow="1" w:lastRow="0" w:firstColumn="1" w:lastColumn="0" w:noHBand="0" w:noVBand="1"/>
      </w:tblPr>
      <w:tblGrid>
        <w:gridCol w:w="8730"/>
        <w:gridCol w:w="8730"/>
      </w:tblGrid>
      <w:tr w:rsidR="00E747DD" w:rsidTr="00E747DD">
        <w:tc>
          <w:tcPr>
            <w:tcW w:w="8730" w:type="dxa"/>
          </w:tcPr>
          <w:p w:rsidR="00E747DD" w:rsidRPr="004D3599" w:rsidRDefault="00E747DD" w:rsidP="00E747DD">
            <w:pPr>
              <w:pStyle w:val="ListParagraph"/>
              <w:ind w:left="0"/>
              <w:rPr>
                <w:rFonts w:ascii="Franklin Gothic Book" w:hAnsi="Franklin Gothic Book"/>
                <w:color w:val="4F81BD" w:themeColor="accent1"/>
              </w:rPr>
            </w:pPr>
            <w:r>
              <w:rPr>
                <w:rFonts w:ascii="Franklin Gothic Book" w:hAnsi="Franklin Gothic Book"/>
                <w:color w:val="4F81BD" w:themeColor="accent1"/>
              </w:rPr>
              <w:t>Dual credit and dual degree students must prove that they are college ready prior to being admitted into the program according to Texas Higher Education Coordinating Board (THECB) rules. These rules do act as an incentive for high school students wishing to begin college prior to graduating from high school.</w:t>
            </w:r>
          </w:p>
        </w:tc>
        <w:tc>
          <w:tcPr>
            <w:tcW w:w="8730" w:type="dxa"/>
          </w:tcPr>
          <w:p w:rsidR="00E747DD" w:rsidRDefault="00E747DD" w:rsidP="00E747DD">
            <w:pPr>
              <w:pStyle w:val="ListParagraph"/>
              <w:ind w:left="0"/>
              <w:rPr>
                <w:rFonts w:ascii="Franklin Gothic Book" w:hAnsi="Franklin Gothic Book"/>
                <w:color w:val="4F81BD" w:themeColor="accent1"/>
              </w:rPr>
            </w:pPr>
          </w:p>
          <w:p w:rsidR="00E747DD" w:rsidRPr="004D3599" w:rsidRDefault="00E747DD" w:rsidP="00E747DD">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Default="00E747DD"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Dual credit and dual degree students are bound by rigorous </w:t>
            </w:r>
            <w:hyperlink r:id="rId7" w:history="1">
              <w:r w:rsidRPr="007F5E65">
                <w:rPr>
                  <w:rStyle w:val="Hyperlink"/>
                  <w:rFonts w:ascii="Franklin Gothic Book" w:hAnsi="Franklin Gothic Book"/>
                </w:rPr>
                <w:t>THECB rules</w:t>
              </w:r>
            </w:hyperlink>
            <w:r>
              <w:rPr>
                <w:rFonts w:ascii="Franklin Gothic Book" w:hAnsi="Franklin Gothic Book"/>
                <w:color w:val="4F81BD" w:themeColor="accent1"/>
              </w:rPr>
              <w:t>. These rules cannot be removed and consequently some students do not meet the entrance requirements of the programs. For AC to be able to continue to offer dual credit these rules must be followed and cannot be changed</w:t>
            </w:r>
          </w:p>
          <w:p w:rsidR="00E747DD" w:rsidRDefault="00E747DD" w:rsidP="00B11A3C">
            <w:pPr>
              <w:pStyle w:val="ListParagraph"/>
              <w:ind w:left="0"/>
              <w:rPr>
                <w:rFonts w:ascii="Franklin Gothic Book" w:hAnsi="Franklin Gothic Book"/>
                <w:color w:val="4F81BD" w:themeColor="accent1"/>
              </w:rPr>
            </w:pPr>
          </w:p>
          <w:p w:rsidR="00E747DD" w:rsidRDefault="00E747DD" w:rsidP="00E747DD">
            <w:pPr>
              <w:pStyle w:val="ListParagraph"/>
              <w:ind w:left="0"/>
              <w:rPr>
                <w:rFonts w:ascii="Franklin Gothic Book" w:hAnsi="Franklin Gothic Book"/>
                <w:color w:val="548DD4" w:themeColor="text2" w:themeTint="99"/>
              </w:rPr>
            </w:pPr>
            <w:r>
              <w:rPr>
                <w:rFonts w:ascii="Franklin Gothic Book" w:hAnsi="Franklin Gothic Book"/>
                <w:color w:val="4F81BD" w:themeColor="accent1"/>
              </w:rPr>
              <w:t xml:space="preserve">The dual credit materials provided information about the </w:t>
            </w:r>
            <w:hyperlink r:id="rId8" w:history="1">
              <w:r w:rsidRPr="007F5E65">
                <w:rPr>
                  <w:rStyle w:val="Hyperlink"/>
                  <w:rFonts w:ascii="Franklin Gothic Book" w:hAnsi="Franklin Gothic Book"/>
                </w:rPr>
                <w:t>AC Payment Plan</w:t>
              </w:r>
            </w:hyperlink>
            <w:r>
              <w:rPr>
                <w:rFonts w:ascii="Franklin Gothic Book" w:hAnsi="Franklin Gothic Book"/>
                <w:color w:val="4F81BD" w:themeColor="accent1"/>
              </w:rPr>
              <w:t xml:space="preserve">. Students took advantage of the plan. </w:t>
            </w:r>
            <w:r>
              <w:rPr>
                <w:rFonts w:ascii="Franklin Gothic Book" w:hAnsi="Franklin Gothic Book"/>
                <w:color w:val="548DD4" w:themeColor="text2" w:themeTint="99"/>
              </w:rPr>
              <w:t>The number of dual credit students using the payment plan are as follows:</w:t>
            </w:r>
          </w:p>
          <w:p w:rsidR="00E747DD" w:rsidRDefault="00E747DD" w:rsidP="00E747DD">
            <w:pPr>
              <w:pStyle w:val="ListParagraph"/>
              <w:ind w:left="0"/>
              <w:rPr>
                <w:rFonts w:ascii="Franklin Gothic Book" w:hAnsi="Franklin Gothic Book"/>
                <w:color w:val="548DD4" w:themeColor="text2" w:themeTint="99"/>
              </w:rPr>
            </w:pPr>
            <w:r>
              <w:rPr>
                <w:rFonts w:ascii="Franklin Gothic Book" w:hAnsi="Franklin Gothic Book"/>
                <w:color w:val="FF0000"/>
              </w:rPr>
              <w:t xml:space="preserve">          </w:t>
            </w:r>
            <w:r>
              <w:rPr>
                <w:rFonts w:ascii="Franklin Gothic Book" w:hAnsi="Franklin Gothic Book"/>
                <w:color w:val="548DD4" w:themeColor="text2" w:themeTint="99"/>
              </w:rPr>
              <w:t>Fall 2012           17</w:t>
            </w:r>
          </w:p>
          <w:p w:rsidR="00E747DD" w:rsidRDefault="00E747DD" w:rsidP="00E747DD">
            <w:pPr>
              <w:pStyle w:val="ListParagraph"/>
              <w:ind w:left="0"/>
              <w:rPr>
                <w:rFonts w:ascii="Franklin Gothic Book" w:hAnsi="Franklin Gothic Book"/>
                <w:color w:val="548DD4" w:themeColor="text2" w:themeTint="99"/>
              </w:rPr>
            </w:pPr>
            <w:r>
              <w:rPr>
                <w:rFonts w:ascii="Franklin Gothic Book" w:hAnsi="Franklin Gothic Book"/>
                <w:color w:val="548DD4" w:themeColor="text2" w:themeTint="99"/>
              </w:rPr>
              <w:t xml:space="preserve">          Spring 2013      18</w:t>
            </w:r>
          </w:p>
          <w:p w:rsidR="00E747DD" w:rsidRPr="008A7299" w:rsidRDefault="00E747DD" w:rsidP="00E747DD">
            <w:pPr>
              <w:pStyle w:val="ListParagraph"/>
              <w:ind w:left="0"/>
              <w:rPr>
                <w:rFonts w:ascii="Franklin Gothic Book" w:hAnsi="Franklin Gothic Book"/>
                <w:color w:val="548DD4" w:themeColor="text2" w:themeTint="99"/>
              </w:rPr>
            </w:pPr>
            <w:r>
              <w:rPr>
                <w:rFonts w:ascii="Franklin Gothic Book" w:hAnsi="Franklin Gothic Book"/>
                <w:color w:val="548DD4" w:themeColor="text2" w:themeTint="99"/>
              </w:rPr>
              <w:t xml:space="preserve">          Fall 2013         104</w:t>
            </w:r>
          </w:p>
          <w:p w:rsidR="00E747DD" w:rsidRDefault="00E747DD" w:rsidP="00E747DD">
            <w:pPr>
              <w:pStyle w:val="ListParagraph"/>
              <w:ind w:left="0"/>
              <w:rPr>
                <w:rFonts w:ascii="Franklin Gothic Book" w:hAnsi="Franklin Gothic Book"/>
                <w:color w:val="548DD4" w:themeColor="text2" w:themeTint="99"/>
              </w:rPr>
            </w:pPr>
            <w:r w:rsidRPr="008A7299">
              <w:rPr>
                <w:rFonts w:ascii="Franklin Gothic Book" w:hAnsi="Franklin Gothic Book"/>
                <w:color w:val="548DD4" w:themeColor="text2" w:themeTint="99"/>
              </w:rPr>
              <w:t xml:space="preserve">          Spring 2014    </w:t>
            </w:r>
            <w:r>
              <w:rPr>
                <w:rFonts w:ascii="Franklin Gothic Book" w:hAnsi="Franklin Gothic Book"/>
                <w:color w:val="548DD4" w:themeColor="text2" w:themeTint="99"/>
              </w:rPr>
              <w:t xml:space="preserve">  </w:t>
            </w:r>
            <w:r w:rsidRPr="008A7299">
              <w:rPr>
                <w:rFonts w:ascii="Franklin Gothic Book" w:hAnsi="Franklin Gothic Book"/>
                <w:color w:val="548DD4" w:themeColor="text2" w:themeTint="99"/>
              </w:rPr>
              <w:t>94</w:t>
            </w:r>
          </w:p>
          <w:p w:rsidR="00E747DD" w:rsidRDefault="00E747DD" w:rsidP="00E747DD">
            <w:pPr>
              <w:pStyle w:val="ListParagraph"/>
              <w:ind w:left="0"/>
              <w:rPr>
                <w:rFonts w:ascii="Franklin Gothic Book" w:hAnsi="Franklin Gothic Book"/>
                <w:color w:val="548DD4" w:themeColor="text2" w:themeTint="99"/>
              </w:rPr>
            </w:pPr>
            <w:r>
              <w:rPr>
                <w:rFonts w:ascii="Franklin Gothic Book" w:hAnsi="Franklin Gothic Book"/>
                <w:color w:val="548DD4" w:themeColor="text2" w:themeTint="99"/>
              </w:rPr>
              <w:t xml:space="preserve">          Fall 2014         103</w:t>
            </w:r>
          </w:p>
          <w:p w:rsidR="00E747DD" w:rsidRDefault="00E747DD" w:rsidP="00E747DD">
            <w:pPr>
              <w:pStyle w:val="ListParagraph"/>
              <w:ind w:left="0"/>
              <w:rPr>
                <w:rFonts w:ascii="Franklin Gothic Book" w:hAnsi="Franklin Gothic Book"/>
                <w:color w:val="548DD4" w:themeColor="text2" w:themeTint="99"/>
              </w:rPr>
            </w:pPr>
            <w:r>
              <w:rPr>
                <w:rFonts w:ascii="Franklin Gothic Book" w:hAnsi="Franklin Gothic Book"/>
                <w:color w:val="548DD4" w:themeColor="text2" w:themeTint="99"/>
              </w:rPr>
              <w:t xml:space="preserve">          Spring 2015    102</w:t>
            </w:r>
          </w:p>
          <w:p w:rsidR="007A2301" w:rsidRDefault="007A2301" w:rsidP="00E747DD">
            <w:pPr>
              <w:pStyle w:val="ListParagraph"/>
              <w:ind w:left="0"/>
              <w:rPr>
                <w:rFonts w:ascii="Franklin Gothic Book" w:hAnsi="Franklin Gothic Book"/>
                <w:color w:val="548DD4" w:themeColor="text2" w:themeTint="99"/>
              </w:rPr>
            </w:pPr>
            <w:r>
              <w:rPr>
                <w:rFonts w:ascii="Franklin Gothic Book" w:hAnsi="Franklin Gothic Book"/>
                <w:color w:val="548DD4" w:themeColor="text2" w:themeTint="99"/>
              </w:rPr>
              <w:t xml:space="preserve">In addition to advertising the AC Payment Plan, the Department sent payment deadline reminders for the first time this year. Emails were sent both to the students and to the high school. </w:t>
            </w:r>
            <w:r w:rsidR="004B2463">
              <w:rPr>
                <w:rFonts w:ascii="Franklin Gothic Book" w:hAnsi="Franklin Gothic Book"/>
                <w:color w:val="548DD4" w:themeColor="text2" w:themeTint="99"/>
              </w:rPr>
              <w:t xml:space="preserve">Forty one students were on the delinquent payment list. After notification, fourteen students paid. </w:t>
            </w:r>
            <w:r>
              <w:rPr>
                <w:rFonts w:ascii="Franklin Gothic Book" w:hAnsi="Franklin Gothic Book"/>
                <w:color w:val="548DD4" w:themeColor="text2" w:themeTint="99"/>
              </w:rPr>
              <w:t>Students keeping current on their payments will help with future enrollment. Prior to these notifications students would find that a hold had been placed on their records and the financial matter turned over to a collection agency. Getting the students paid will definitely improve their continuation in college.</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7A2301" w:rsidRPr="00E606FC" w:rsidRDefault="007A2301" w:rsidP="007A2301">
            <w:pPr>
              <w:pStyle w:val="ListParagraph"/>
              <w:numPr>
                <w:ilvl w:val="0"/>
                <w:numId w:val="39"/>
              </w:numPr>
              <w:rPr>
                <w:rFonts w:ascii="Franklin Gothic Book" w:hAnsi="Franklin Gothic Book"/>
                <w:color w:val="4F81BD" w:themeColor="accent1"/>
              </w:rPr>
            </w:pPr>
            <w:r w:rsidRPr="00E606FC">
              <w:rPr>
                <w:rFonts w:ascii="Franklin Gothic Book" w:hAnsi="Franklin Gothic Book"/>
                <w:color w:val="4F81BD" w:themeColor="accent1"/>
              </w:rPr>
              <w:t>To maintain or increase dual credit enrollment numbers.</w:t>
            </w:r>
          </w:p>
          <w:p w:rsidR="007A2301" w:rsidRDefault="007A2301" w:rsidP="007A2301">
            <w:pPr>
              <w:pStyle w:val="ListParagraph"/>
              <w:numPr>
                <w:ilvl w:val="0"/>
                <w:numId w:val="39"/>
              </w:numPr>
              <w:rPr>
                <w:rFonts w:ascii="Franklin Gothic Book" w:hAnsi="Franklin Gothic Book"/>
                <w:color w:val="4F81BD" w:themeColor="accent1"/>
              </w:rPr>
            </w:pPr>
            <w:r w:rsidRPr="00E606FC">
              <w:rPr>
                <w:rFonts w:ascii="Franklin Gothic Book" w:hAnsi="Franklin Gothic Book"/>
                <w:color w:val="4F81BD" w:themeColor="accent1"/>
              </w:rPr>
              <w:t>The success rate of dual credit students enrolled in Amarillo College classes will meet or exceed traditional Amarillo College students.</w:t>
            </w:r>
          </w:p>
          <w:p w:rsidR="004B2463" w:rsidRPr="00E606FC" w:rsidRDefault="004B2463" w:rsidP="007A2301">
            <w:pPr>
              <w:pStyle w:val="ListParagraph"/>
              <w:numPr>
                <w:ilvl w:val="0"/>
                <w:numId w:val="39"/>
              </w:numPr>
              <w:rPr>
                <w:rFonts w:ascii="Franklin Gothic Book" w:hAnsi="Franklin Gothic Book"/>
                <w:color w:val="4F81BD" w:themeColor="accent1"/>
              </w:rPr>
            </w:pPr>
            <w:r>
              <w:rPr>
                <w:rFonts w:ascii="Franklin Gothic Book" w:hAnsi="Franklin Gothic Book"/>
                <w:color w:val="4F81BD" w:themeColor="accent1"/>
              </w:rPr>
              <w:t xml:space="preserve">Amarillo College Dual Degree program will continue to attract 5 to 10 </w:t>
            </w:r>
            <w:r w:rsidR="00283916">
              <w:rPr>
                <w:rFonts w:ascii="Franklin Gothic Book" w:hAnsi="Franklin Gothic Book"/>
                <w:color w:val="4F81BD" w:themeColor="accent1"/>
              </w:rPr>
              <w:t xml:space="preserve">more </w:t>
            </w:r>
            <w:r>
              <w:rPr>
                <w:rFonts w:ascii="Franklin Gothic Book" w:hAnsi="Franklin Gothic Book"/>
                <w:color w:val="4F81BD" w:themeColor="accent1"/>
              </w:rPr>
              <w:t xml:space="preserve">students per year. </w:t>
            </w:r>
          </w:p>
          <w:p w:rsidR="005B7109" w:rsidRPr="004D3599" w:rsidRDefault="005B7109" w:rsidP="004B2463">
            <w:pPr>
              <w:pStyle w:val="ListParagraph"/>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lastRenderedPageBreak/>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4B2463" w:rsidRPr="00D823EB" w:rsidRDefault="004B2463" w:rsidP="004B2463">
            <w:pPr>
              <w:pStyle w:val="ListParagraph"/>
              <w:numPr>
                <w:ilvl w:val="0"/>
                <w:numId w:val="40"/>
              </w:numPr>
              <w:rPr>
                <w:rFonts w:ascii="Franklin Gothic Book" w:hAnsi="Franklin Gothic Book"/>
                <w:color w:val="4F81BD" w:themeColor="accent1"/>
              </w:rPr>
            </w:pPr>
            <w:r w:rsidRPr="00D823EB">
              <w:rPr>
                <w:rFonts w:ascii="Franklin Gothic Book" w:hAnsi="Franklin Gothic Book"/>
                <w:color w:val="4F81BD" w:themeColor="accent1"/>
              </w:rPr>
              <w:t>After visiting with students and counselors at local high schools, dual credit students will continue to register at an increased rate of at least 1% each year for the next 5 years (years 2013-2018).</w:t>
            </w:r>
          </w:p>
          <w:p w:rsidR="004B2463" w:rsidRPr="00D823EB" w:rsidRDefault="004B2463" w:rsidP="004B2463">
            <w:pPr>
              <w:pStyle w:val="ListParagraph"/>
              <w:numPr>
                <w:ilvl w:val="0"/>
                <w:numId w:val="40"/>
              </w:numPr>
              <w:rPr>
                <w:rFonts w:ascii="Franklin Gothic Book" w:hAnsi="Franklin Gothic Book"/>
                <w:color w:val="4F81BD" w:themeColor="accent1"/>
              </w:rPr>
            </w:pPr>
            <w:r w:rsidRPr="00D823EB">
              <w:rPr>
                <w:rFonts w:ascii="Franklin Gothic Book" w:hAnsi="Franklin Gothic Book"/>
                <w:color w:val="4F81BD" w:themeColor="accent1"/>
              </w:rPr>
              <w:t>After enrolling in a dual-credit program and receiving dual-credit support services, dual-credit students will perform at a higher-success rate than non-dual credit students.</w:t>
            </w:r>
          </w:p>
          <w:p w:rsidR="00B618DA" w:rsidRDefault="004B2463" w:rsidP="004B2463">
            <w:pPr>
              <w:pStyle w:val="ListParagraph"/>
              <w:numPr>
                <w:ilvl w:val="0"/>
                <w:numId w:val="40"/>
              </w:numPr>
              <w:rPr>
                <w:rFonts w:ascii="Franklin Gothic Book" w:hAnsi="Franklin Gothic Book"/>
                <w:color w:val="4F81BD" w:themeColor="accent1"/>
              </w:rPr>
            </w:pPr>
            <w:r w:rsidRPr="00D823EB">
              <w:rPr>
                <w:rFonts w:ascii="Franklin Gothic Book" w:hAnsi="Franklin Gothic Book" w:cs="Arial"/>
                <w:color w:val="548DD4" w:themeColor="text2" w:themeTint="99"/>
              </w:rPr>
              <w:t>After receiving</w:t>
            </w:r>
            <w:r>
              <w:rPr>
                <w:rFonts w:ascii="Franklin Gothic Book" w:hAnsi="Franklin Gothic Book" w:cs="Arial"/>
                <w:color w:val="548DD4" w:themeColor="text2" w:themeTint="99"/>
              </w:rPr>
              <w:t xml:space="preserve"> intensive advising, t</w:t>
            </w:r>
            <w:r w:rsidRPr="009F714F">
              <w:rPr>
                <w:rFonts w:ascii="Franklin Gothic Book" w:hAnsi="Franklin Gothic Book" w:cs="Arial"/>
                <w:color w:val="548DD4" w:themeColor="text2" w:themeTint="99"/>
              </w:rPr>
              <w:t xml:space="preserve">wenty-five percent of </w:t>
            </w:r>
            <w:r>
              <w:rPr>
                <w:rFonts w:ascii="Franklin Gothic Book" w:hAnsi="Franklin Gothic Book" w:cs="Arial"/>
                <w:color w:val="548DD4" w:themeColor="text2" w:themeTint="99"/>
              </w:rPr>
              <w:t xml:space="preserve">dual credit </w:t>
            </w:r>
            <w:r w:rsidRPr="009F714F">
              <w:rPr>
                <w:rFonts w:ascii="Franklin Gothic Book" w:hAnsi="Franklin Gothic Book" w:cs="Arial"/>
                <w:color w:val="548DD4" w:themeColor="text2" w:themeTint="99"/>
              </w:rPr>
              <w:t>students who meet the dual degree program requirements and participate in the program will successfully complete an associate’s degree the same year they graduate from high school.</w:t>
            </w:r>
          </w:p>
          <w:p w:rsidR="00B618DA" w:rsidRPr="004D3599" w:rsidRDefault="00B618DA" w:rsidP="005464BF">
            <w:pPr>
              <w:pStyle w:val="ListParagraph"/>
              <w:ind w:left="0"/>
              <w:rPr>
                <w:rFonts w:ascii="Franklin Gothic Book" w:hAnsi="Franklin Gothic Book"/>
                <w:color w:val="4F81BD" w:themeColor="accent1"/>
              </w:rPr>
            </w:pP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4B2463" w:rsidRPr="00D823EB" w:rsidRDefault="004B2463" w:rsidP="004B2463">
            <w:pPr>
              <w:pStyle w:val="ListParagraph"/>
              <w:numPr>
                <w:ilvl w:val="0"/>
                <w:numId w:val="41"/>
              </w:numPr>
              <w:rPr>
                <w:rFonts w:ascii="Franklin Gothic Book" w:hAnsi="Franklin Gothic Book"/>
                <w:color w:val="4F81BD" w:themeColor="accent1"/>
              </w:rPr>
            </w:pPr>
            <w:r w:rsidRPr="00D823EB">
              <w:rPr>
                <w:rFonts w:ascii="Franklin Gothic Book" w:hAnsi="Franklin Gothic Book"/>
                <w:color w:val="4F81BD" w:themeColor="accent1"/>
              </w:rPr>
              <w:t xml:space="preserve">The Department uses information from the </w:t>
            </w:r>
            <w:hyperlink r:id="rId9" w:history="1">
              <w:r w:rsidRPr="00D823EB">
                <w:rPr>
                  <w:rStyle w:val="Hyperlink"/>
                </w:rPr>
                <w:t>D</w:t>
              </w:r>
              <w:r w:rsidRPr="00D823EB">
                <w:rPr>
                  <w:rStyle w:val="Hyperlink"/>
                  <w:rFonts w:ascii="Franklin Gothic Book" w:hAnsi="Franklin Gothic Book"/>
                </w:rPr>
                <w:t>atabook.</w:t>
              </w:r>
            </w:hyperlink>
            <w:r w:rsidRPr="00D823EB">
              <w:rPr>
                <w:rFonts w:ascii="Franklin Gothic Book" w:hAnsi="Franklin Gothic Book"/>
                <w:color w:val="4F81BD" w:themeColor="accent1"/>
              </w:rPr>
              <w:t xml:space="preserve"> </w:t>
            </w:r>
            <w:r w:rsidRPr="00D823EB">
              <w:rPr>
                <w:rFonts w:ascii="Franklin Gothic Book" w:hAnsi="Franklin Gothic Book"/>
                <w:color w:val="4F81BD" w:themeColor="accent1"/>
              </w:rPr>
              <w:br/>
            </w:r>
            <w:r w:rsidRPr="00D823EB">
              <w:rPr>
                <w:rFonts w:ascii="Franklin Gothic Book" w:hAnsi="Franklin Gothic Book"/>
                <w:b/>
                <w:color w:val="4F81BD" w:themeColor="accent1"/>
              </w:rPr>
              <w:t>2011:</w:t>
            </w:r>
            <w:r w:rsidRPr="00D823EB">
              <w:rPr>
                <w:rFonts w:ascii="Franklin Gothic Book" w:hAnsi="Franklin Gothic Book"/>
                <w:color w:val="4F81BD" w:themeColor="accent1"/>
              </w:rPr>
              <w:t xml:space="preserve"> 1985 Students</w:t>
            </w:r>
          </w:p>
          <w:p w:rsidR="004B2463" w:rsidRPr="00D823EB" w:rsidRDefault="004B2463" w:rsidP="004B2463">
            <w:pPr>
              <w:pStyle w:val="ListParagraph"/>
              <w:rPr>
                <w:rFonts w:ascii="Franklin Gothic Book" w:hAnsi="Franklin Gothic Book"/>
                <w:color w:val="4F81BD" w:themeColor="accent1"/>
              </w:rPr>
            </w:pPr>
            <w:r w:rsidRPr="00D823EB">
              <w:rPr>
                <w:rFonts w:ascii="Franklin Gothic Book" w:hAnsi="Franklin Gothic Book"/>
                <w:b/>
                <w:color w:val="4F81BD" w:themeColor="accent1"/>
              </w:rPr>
              <w:t>2012:</w:t>
            </w:r>
            <w:r w:rsidRPr="00D823EB">
              <w:rPr>
                <w:rFonts w:ascii="Franklin Gothic Book" w:hAnsi="Franklin Gothic Book"/>
                <w:color w:val="4F81BD" w:themeColor="accent1"/>
              </w:rPr>
              <w:t xml:space="preserve"> 2288 Students (up 15% from previous year)</w:t>
            </w:r>
          </w:p>
          <w:p w:rsidR="007F5E65" w:rsidRDefault="004B2463" w:rsidP="004B2463">
            <w:pPr>
              <w:pStyle w:val="ListParagraph"/>
              <w:rPr>
                <w:rFonts w:ascii="Franklin Gothic Book" w:hAnsi="Franklin Gothic Book"/>
                <w:color w:val="4F81BD" w:themeColor="accent1"/>
              </w:rPr>
            </w:pPr>
            <w:r w:rsidRPr="00D823EB">
              <w:rPr>
                <w:rFonts w:ascii="Franklin Gothic Book" w:hAnsi="Franklin Gothic Book"/>
                <w:b/>
                <w:color w:val="4F81BD" w:themeColor="accent1"/>
              </w:rPr>
              <w:t>2013:</w:t>
            </w:r>
            <w:r w:rsidRPr="00D823EB">
              <w:rPr>
                <w:rFonts w:ascii="Franklin Gothic Book" w:hAnsi="Franklin Gothic Book"/>
                <w:color w:val="4F81BD" w:themeColor="accent1"/>
              </w:rPr>
              <w:t xml:space="preserve"> 2186 Students (down 4% from previous year)</w:t>
            </w:r>
          </w:p>
          <w:p w:rsidR="00226752" w:rsidRDefault="007F5E65" w:rsidP="00226752">
            <w:pPr>
              <w:pStyle w:val="ListParagraph"/>
              <w:rPr>
                <w:rFonts w:ascii="Franklin Gothic Book" w:hAnsi="Franklin Gothic Book"/>
                <w:color w:val="4F81BD" w:themeColor="accent1"/>
              </w:rPr>
            </w:pPr>
            <w:r>
              <w:rPr>
                <w:rFonts w:ascii="Franklin Gothic Book" w:hAnsi="Franklin Gothic Book"/>
                <w:b/>
                <w:color w:val="4F81BD" w:themeColor="accent1"/>
              </w:rPr>
              <w:t>2014:</w:t>
            </w:r>
            <w:r>
              <w:rPr>
                <w:rFonts w:ascii="Franklin Gothic Book" w:hAnsi="Franklin Gothic Book"/>
                <w:color w:val="4F81BD" w:themeColor="accent1"/>
              </w:rPr>
              <w:t xml:space="preserve"> </w:t>
            </w:r>
            <w:r w:rsidR="00226752">
              <w:rPr>
                <w:rFonts w:ascii="Franklin Gothic Book" w:hAnsi="Franklin Gothic Book"/>
                <w:color w:val="4F81BD" w:themeColor="accent1"/>
              </w:rPr>
              <w:t>2230 Students (up 9.8% from previous year</w:t>
            </w:r>
            <w:r w:rsidR="00CC7F40">
              <w:rPr>
                <w:rFonts w:ascii="Franklin Gothic Book" w:hAnsi="Franklin Gothic Book"/>
                <w:color w:val="4F81BD" w:themeColor="accent1"/>
              </w:rPr>
              <w:t xml:space="preserve">) </w:t>
            </w:r>
            <w:r w:rsidR="004B2463" w:rsidRPr="00D823EB">
              <w:rPr>
                <w:rFonts w:ascii="Franklin Gothic Book" w:hAnsi="Franklin Gothic Book"/>
                <w:color w:val="4F81BD" w:themeColor="accent1"/>
              </w:rPr>
              <w:br/>
            </w:r>
            <w:r w:rsidR="00226752">
              <w:rPr>
                <w:rFonts w:ascii="Franklin Gothic Book" w:hAnsi="Franklin Gothic Book"/>
                <w:color w:val="4F81BD" w:themeColor="accent1"/>
              </w:rPr>
              <w:t>The dual credit enrollment benchmark was met for the 2014-2015 school year.</w:t>
            </w:r>
          </w:p>
          <w:p w:rsidR="00D356AB" w:rsidRDefault="00D356AB" w:rsidP="00226752">
            <w:pPr>
              <w:pStyle w:val="ListParagraph"/>
              <w:rPr>
                <w:rFonts w:ascii="Franklin Gothic Book" w:hAnsi="Franklin Gothic Book"/>
                <w:color w:val="4F81BD" w:themeColor="accent1"/>
              </w:rPr>
            </w:pPr>
          </w:p>
          <w:p w:rsidR="00226752" w:rsidRDefault="004B2463" w:rsidP="00226752">
            <w:pPr>
              <w:pStyle w:val="ListParagraph"/>
              <w:numPr>
                <w:ilvl w:val="0"/>
                <w:numId w:val="41"/>
              </w:numPr>
              <w:rPr>
                <w:rFonts w:ascii="Franklin Gothic Book" w:hAnsi="Franklin Gothic Book"/>
                <w:color w:val="4F81BD" w:themeColor="accent1"/>
              </w:rPr>
            </w:pPr>
            <w:r w:rsidRPr="00226752">
              <w:rPr>
                <w:rFonts w:ascii="Franklin Gothic Book" w:hAnsi="Franklin Gothic Book"/>
                <w:color w:val="4F81BD" w:themeColor="accent1"/>
              </w:rPr>
              <w:t>The Department uses information provided by Bob Austin, Vice-P</w:t>
            </w:r>
            <w:r w:rsidR="005C1E93">
              <w:rPr>
                <w:rFonts w:ascii="Franklin Gothic Book" w:hAnsi="Franklin Gothic Book"/>
                <w:color w:val="4F81BD" w:themeColor="accent1"/>
              </w:rPr>
              <w:t>resident</w:t>
            </w:r>
            <w:r w:rsidRPr="00226752">
              <w:rPr>
                <w:rFonts w:ascii="Franklin Gothic Book" w:hAnsi="Franklin Gothic Book"/>
                <w:color w:val="4F81BD" w:themeColor="accent1"/>
              </w:rPr>
              <w:t xml:space="preserve"> of Student Affairs, and information from the </w:t>
            </w:r>
            <w:hyperlink r:id="rId10" w:history="1">
              <w:r w:rsidRPr="00226752">
                <w:rPr>
                  <w:rStyle w:val="Hyperlink"/>
                  <w:rFonts w:ascii="Franklin Gothic Book" w:hAnsi="Franklin Gothic Book"/>
                </w:rPr>
                <w:t>Data Book</w:t>
              </w:r>
            </w:hyperlink>
            <w:r w:rsidRPr="00226752">
              <w:rPr>
                <w:rFonts w:ascii="Franklin Gothic Book" w:hAnsi="Franklin Gothic Book"/>
                <w:color w:val="4F81BD" w:themeColor="accent1"/>
              </w:rPr>
              <w:t xml:space="preserve">. At this time dual credit success rates exceed traditional college students. </w:t>
            </w:r>
          </w:p>
          <w:p w:rsidR="00226752" w:rsidRDefault="00226752" w:rsidP="00226752">
            <w:pPr>
              <w:pStyle w:val="ListParagraph"/>
              <w:rPr>
                <w:rFonts w:ascii="Franklin Gothic Book" w:hAnsi="Franklin Gothic Book"/>
                <w:color w:val="4F81BD" w:themeColor="accent1"/>
              </w:rPr>
            </w:pPr>
            <w:r>
              <w:rPr>
                <w:rFonts w:ascii="Franklin Gothic Book" w:hAnsi="Franklin Gothic Book"/>
                <w:color w:val="4F81BD" w:themeColor="accent1"/>
              </w:rPr>
              <w:t xml:space="preserve">   2012: </w:t>
            </w:r>
            <w:r w:rsidR="004B2463" w:rsidRPr="00226752">
              <w:rPr>
                <w:rFonts w:ascii="Franklin Gothic Book" w:hAnsi="Franklin Gothic Book"/>
                <w:color w:val="4F81BD" w:themeColor="accent1"/>
              </w:rPr>
              <w:t xml:space="preserve">11,530 </w:t>
            </w:r>
            <w:r>
              <w:rPr>
                <w:rFonts w:ascii="Franklin Gothic Book" w:hAnsi="Franklin Gothic Book"/>
                <w:color w:val="4F81BD" w:themeColor="accent1"/>
              </w:rPr>
              <w:t xml:space="preserve">regular AC students had a </w:t>
            </w:r>
            <w:r w:rsidR="004B2463" w:rsidRPr="00226752">
              <w:rPr>
                <w:rFonts w:ascii="Franklin Gothic Book" w:hAnsi="Franklin Gothic Book"/>
                <w:color w:val="4F81BD" w:themeColor="accent1"/>
              </w:rPr>
              <w:t>78.9% success rate</w:t>
            </w:r>
          </w:p>
          <w:p w:rsidR="00226752" w:rsidRDefault="004B2463" w:rsidP="00226752">
            <w:pPr>
              <w:pStyle w:val="ListParagraph"/>
              <w:rPr>
                <w:rFonts w:ascii="Franklin Gothic Book" w:hAnsi="Franklin Gothic Book"/>
                <w:color w:val="4F81BD" w:themeColor="accent1"/>
              </w:rPr>
            </w:pPr>
            <w:r w:rsidRPr="00226752">
              <w:rPr>
                <w:rFonts w:ascii="Franklin Gothic Book" w:hAnsi="Franklin Gothic Book"/>
                <w:color w:val="4F81BD" w:themeColor="accent1"/>
              </w:rPr>
              <w:t xml:space="preserve"> </w:t>
            </w:r>
            <w:r w:rsidR="00226752">
              <w:rPr>
                <w:rFonts w:ascii="Franklin Gothic Book" w:hAnsi="Franklin Gothic Book"/>
                <w:color w:val="4F81BD" w:themeColor="accent1"/>
              </w:rPr>
              <w:t xml:space="preserve">  2012: 1,676 dual credit AC students had a 91.9% success rate </w:t>
            </w:r>
          </w:p>
          <w:p w:rsidR="00EF6447" w:rsidRPr="002B7410" w:rsidRDefault="00EF6447" w:rsidP="00226752">
            <w:pPr>
              <w:pStyle w:val="ListParagraph"/>
              <w:rPr>
                <w:rFonts w:ascii="Franklin Gothic Book" w:hAnsi="Franklin Gothic Book"/>
                <w:color w:val="4F81BD" w:themeColor="accent1"/>
              </w:rPr>
            </w:pPr>
            <w:r>
              <w:rPr>
                <w:rFonts w:ascii="Franklin Gothic Book" w:hAnsi="Franklin Gothic Book"/>
                <w:color w:val="4F81BD" w:themeColor="accent1"/>
              </w:rPr>
              <w:t xml:space="preserve">   2013: 10,876 regular AC students had </w:t>
            </w:r>
            <w:r w:rsidRPr="002B7410">
              <w:rPr>
                <w:rFonts w:ascii="Franklin Gothic Book" w:hAnsi="Franklin Gothic Book"/>
                <w:color w:val="4F81BD" w:themeColor="accent1"/>
              </w:rPr>
              <w:t>a 78.6 % success rate</w:t>
            </w:r>
          </w:p>
          <w:p w:rsidR="00EF6447" w:rsidRDefault="00EF6447" w:rsidP="00226752">
            <w:pPr>
              <w:pStyle w:val="ListParagraph"/>
              <w:rPr>
                <w:rFonts w:ascii="Franklin Gothic Book" w:hAnsi="Franklin Gothic Book"/>
                <w:color w:val="4F81BD" w:themeColor="accent1"/>
              </w:rPr>
            </w:pPr>
            <w:r w:rsidRPr="002B7410">
              <w:rPr>
                <w:rFonts w:ascii="Franklin Gothic Book" w:hAnsi="Franklin Gothic Book"/>
                <w:color w:val="4F81BD" w:themeColor="accent1"/>
              </w:rPr>
              <w:t xml:space="preserve">   2013: 2,</w:t>
            </w:r>
            <w:r w:rsidR="005C1E93" w:rsidRPr="002B7410">
              <w:rPr>
                <w:rFonts w:ascii="Franklin Gothic Book" w:hAnsi="Franklin Gothic Book"/>
                <w:color w:val="4F81BD" w:themeColor="accent1"/>
              </w:rPr>
              <w:t>229 dual credit AC students has a 97.5%</w:t>
            </w:r>
            <w:r w:rsidR="005C1E93">
              <w:rPr>
                <w:rFonts w:ascii="Franklin Gothic Book" w:hAnsi="Franklin Gothic Book"/>
                <w:color w:val="4F81BD" w:themeColor="accent1"/>
              </w:rPr>
              <w:t xml:space="preserve"> success rate</w:t>
            </w:r>
          </w:p>
          <w:p w:rsidR="004B2463" w:rsidRDefault="004B2463" w:rsidP="00226752">
            <w:pPr>
              <w:pStyle w:val="ListParagraph"/>
              <w:rPr>
                <w:rFonts w:ascii="Franklin Gothic Book" w:hAnsi="Franklin Gothic Book"/>
                <w:color w:val="4F81BD" w:themeColor="accent1"/>
              </w:rPr>
            </w:pPr>
            <w:r w:rsidRPr="00226752">
              <w:rPr>
                <w:rFonts w:ascii="Franklin Gothic Book" w:hAnsi="Franklin Gothic Book"/>
                <w:color w:val="4F81BD" w:themeColor="accent1"/>
              </w:rPr>
              <w:t>The latest</w:t>
            </w:r>
            <w:r w:rsidR="00C0147D">
              <w:rPr>
                <w:rFonts w:ascii="Franklin Gothic Book" w:hAnsi="Franklin Gothic Book"/>
                <w:color w:val="4F81BD" w:themeColor="accent1"/>
              </w:rPr>
              <w:t xml:space="preserve"> statistics available are 2013</w:t>
            </w:r>
            <w:r w:rsidRPr="00226752">
              <w:rPr>
                <w:rFonts w:ascii="Franklin Gothic Book" w:hAnsi="Franklin Gothic Book"/>
                <w:color w:val="4F81BD" w:themeColor="accent1"/>
              </w:rPr>
              <w:t>.</w:t>
            </w:r>
          </w:p>
          <w:p w:rsidR="00782A2D" w:rsidRPr="00226752" w:rsidRDefault="00782A2D" w:rsidP="00226752">
            <w:pPr>
              <w:pStyle w:val="ListParagraph"/>
              <w:rPr>
                <w:rFonts w:ascii="Franklin Gothic Book" w:hAnsi="Franklin Gothic Book"/>
                <w:color w:val="4F81BD" w:themeColor="accent1"/>
              </w:rPr>
            </w:pPr>
          </w:p>
          <w:p w:rsidR="00D01E39" w:rsidRDefault="00D01E39" w:rsidP="00D01E39">
            <w:pPr>
              <w:pStyle w:val="ListParagraph"/>
              <w:numPr>
                <w:ilvl w:val="0"/>
                <w:numId w:val="41"/>
              </w:numPr>
              <w:rPr>
                <w:rFonts w:ascii="Franklin Gothic Book" w:hAnsi="Franklin Gothic Book"/>
                <w:color w:val="4F81BD" w:themeColor="accent1"/>
              </w:rPr>
            </w:pPr>
            <w:r>
              <w:rPr>
                <w:rFonts w:ascii="Franklin Gothic Book" w:hAnsi="Franklin Gothic Book"/>
                <w:color w:val="4F81BD" w:themeColor="accent1"/>
              </w:rPr>
              <w:t>Dual degree class of 2013: 7 began the program    4 graduated with an AA/AS</w:t>
            </w:r>
          </w:p>
          <w:p w:rsidR="00D01E39" w:rsidRDefault="00D01E39" w:rsidP="00D01E39">
            <w:pPr>
              <w:pStyle w:val="ListParagraph"/>
              <w:rPr>
                <w:rFonts w:ascii="Franklin Gothic Book" w:hAnsi="Franklin Gothic Book"/>
                <w:color w:val="4F81BD" w:themeColor="accent1"/>
              </w:rPr>
            </w:pPr>
            <w:r>
              <w:rPr>
                <w:rFonts w:ascii="Franklin Gothic Book" w:hAnsi="Franklin Gothic Book"/>
                <w:color w:val="4F81BD" w:themeColor="accent1"/>
              </w:rPr>
              <w:t>Dual degree class o</w:t>
            </w:r>
            <w:r w:rsidR="002B7410">
              <w:rPr>
                <w:rFonts w:ascii="Franklin Gothic Book" w:hAnsi="Franklin Gothic Book"/>
                <w:color w:val="4F81BD" w:themeColor="accent1"/>
              </w:rPr>
              <w:t xml:space="preserve">f 2014: 2 began the program    </w:t>
            </w:r>
            <w:r>
              <w:rPr>
                <w:rFonts w:ascii="Franklin Gothic Book" w:hAnsi="Franklin Gothic Book"/>
                <w:color w:val="4F81BD" w:themeColor="accent1"/>
              </w:rPr>
              <w:t xml:space="preserve">1 graduated with an AA/AS   </w:t>
            </w:r>
          </w:p>
          <w:p w:rsidR="00D01E39" w:rsidRDefault="001F4F76" w:rsidP="00D01E39">
            <w:pPr>
              <w:pStyle w:val="ListParagraph"/>
              <w:rPr>
                <w:rFonts w:ascii="Franklin Gothic Book" w:hAnsi="Franklin Gothic Book"/>
                <w:color w:val="4F81BD" w:themeColor="accent1"/>
              </w:rPr>
            </w:pPr>
            <w:r>
              <w:rPr>
                <w:rFonts w:ascii="Franklin Gothic Book" w:hAnsi="Franklin Gothic Book"/>
                <w:color w:val="4F81BD" w:themeColor="accent1"/>
              </w:rPr>
              <w:t>Dual degree class of 2015: 3 began the program    3 graduated with an AA/AS</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D356AB"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Department is meeting all its goals at this time. </w:t>
            </w:r>
          </w:p>
          <w:p w:rsidR="00D356AB" w:rsidRDefault="00D356AB" w:rsidP="00F34DB9">
            <w:pPr>
              <w:pStyle w:val="ListParagraph"/>
              <w:ind w:left="0"/>
              <w:rPr>
                <w:rFonts w:ascii="Franklin Gothic Book" w:hAnsi="Franklin Gothic Book"/>
                <w:color w:val="4F81BD" w:themeColor="accent1"/>
              </w:rPr>
            </w:pPr>
          </w:p>
          <w:p w:rsidR="00D356AB" w:rsidRDefault="00D356AB"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When the new Retention Alert process is complete, the Department will send updates to the high school. This intervention will hopefully raise the success rate to an even higher level. </w:t>
            </w:r>
          </w:p>
          <w:p w:rsidR="00F93E99" w:rsidRPr="004D3599" w:rsidRDefault="00F93E99" w:rsidP="00F34DB9">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7541E6" w:rsidRDefault="007541E6"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lastRenderedPageBreak/>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5C664B" w:rsidRPr="005C664B" w:rsidRDefault="005C664B" w:rsidP="005C664B">
            <w:pPr>
              <w:autoSpaceDE w:val="0"/>
              <w:autoSpaceDN w:val="0"/>
              <w:adjustRightInd w:val="0"/>
              <w:rPr>
                <w:rFonts w:ascii="Franklin Gothic Book" w:hAnsi="Franklin Gothic Book" w:cs="Arial"/>
                <w:bCs/>
                <w:color w:val="548DD4" w:themeColor="text2" w:themeTint="99"/>
              </w:rPr>
            </w:pPr>
            <w:r w:rsidRPr="005C664B">
              <w:rPr>
                <w:rFonts w:ascii="Franklin Gothic Book" w:hAnsi="Franklin Gothic Book" w:cs="Arial"/>
                <w:bCs/>
                <w:color w:val="548DD4" w:themeColor="text2" w:themeTint="99"/>
              </w:rPr>
              <w:t>Strategy 3.1: Expand collaborative partnerships to foster social services necessary to support first-generation students in completing higher-education credentials.</w:t>
            </w:r>
          </w:p>
          <w:p w:rsidR="005C664B" w:rsidRDefault="005C664B" w:rsidP="005C664B">
            <w:pPr>
              <w:pStyle w:val="ListParagraph"/>
              <w:numPr>
                <w:ilvl w:val="2"/>
                <w:numId w:val="41"/>
              </w:numPr>
              <w:autoSpaceDE w:val="0"/>
              <w:autoSpaceDN w:val="0"/>
              <w:adjustRightInd w:val="0"/>
              <w:rPr>
                <w:rFonts w:ascii="Franklin Gothic Book" w:hAnsi="Franklin Gothic Book" w:cs="Arial"/>
                <w:color w:val="548DD4" w:themeColor="text2" w:themeTint="99"/>
              </w:rPr>
            </w:pPr>
            <w:r w:rsidRPr="008B7567">
              <w:rPr>
                <w:rFonts w:ascii="Franklin Gothic Book" w:hAnsi="Franklin Gothic Book" w:cs="Arial"/>
                <w:color w:val="548DD4" w:themeColor="text2" w:themeTint="99"/>
              </w:rPr>
              <w:t xml:space="preserve">AC academic and CTE leadership will expand dual credit </w:t>
            </w:r>
            <w:r>
              <w:rPr>
                <w:rFonts w:ascii="Franklin Gothic Book" w:hAnsi="Franklin Gothic Book" w:cs="Arial"/>
                <w:color w:val="548DD4" w:themeColor="text2" w:themeTint="99"/>
              </w:rPr>
              <w:t xml:space="preserve">course offerings so that </w:t>
            </w:r>
            <w:r w:rsidRPr="008B7567">
              <w:rPr>
                <w:rFonts w:ascii="Franklin Gothic Book" w:hAnsi="Franklin Gothic Book" w:cs="Arial"/>
                <w:color w:val="548DD4" w:themeColor="text2" w:themeTint="99"/>
              </w:rPr>
              <w:t>every high</w:t>
            </w:r>
            <w:r>
              <w:rPr>
                <w:rFonts w:ascii="Franklin Gothic Book" w:hAnsi="Franklin Gothic Book" w:cs="Arial"/>
                <w:color w:val="548DD4" w:themeColor="text2" w:themeTint="99"/>
              </w:rPr>
              <w:t xml:space="preserve"> </w:t>
            </w:r>
            <w:r w:rsidRPr="008B7567">
              <w:rPr>
                <w:rFonts w:ascii="Franklin Gothic Book" w:hAnsi="Franklin Gothic Book" w:cs="Arial"/>
                <w:color w:val="548DD4" w:themeColor="text2" w:themeTint="99"/>
              </w:rPr>
              <w:t>school student has the opportunity to</w:t>
            </w:r>
            <w:r>
              <w:rPr>
                <w:rFonts w:ascii="Franklin Gothic Book" w:hAnsi="Franklin Gothic Book" w:cs="Arial"/>
                <w:color w:val="548DD4" w:themeColor="text2" w:themeTint="99"/>
              </w:rPr>
              <w:t xml:space="preserve"> </w:t>
            </w:r>
            <w:r w:rsidRPr="008B7567">
              <w:rPr>
                <w:rFonts w:ascii="Franklin Gothic Book" w:hAnsi="Franklin Gothic Book" w:cs="Arial"/>
                <w:color w:val="548DD4" w:themeColor="text2" w:themeTint="99"/>
              </w:rPr>
              <w:t>complete at least one dual credit</w:t>
            </w:r>
            <w:r>
              <w:rPr>
                <w:rFonts w:ascii="Franklin Gothic Book" w:hAnsi="Franklin Gothic Book" w:cs="Arial"/>
                <w:color w:val="548DD4" w:themeColor="text2" w:themeTint="99"/>
              </w:rPr>
              <w:t xml:space="preserve"> </w:t>
            </w:r>
            <w:r w:rsidRPr="008B7567">
              <w:rPr>
                <w:rFonts w:ascii="Franklin Gothic Book" w:hAnsi="Franklin Gothic Book" w:cs="Arial"/>
                <w:color w:val="548DD4" w:themeColor="text2" w:themeTint="99"/>
              </w:rPr>
              <w:t>course.</w:t>
            </w:r>
          </w:p>
          <w:p w:rsidR="005C664B" w:rsidRDefault="005C664B" w:rsidP="005C664B">
            <w:pPr>
              <w:autoSpaceDE w:val="0"/>
              <w:autoSpaceDN w:val="0"/>
              <w:adjustRightInd w:val="0"/>
              <w:rPr>
                <w:rFonts w:ascii="Franklin Gothic Book" w:hAnsi="Franklin Gothic Book" w:cs="Arial"/>
                <w:color w:val="548DD4" w:themeColor="text2" w:themeTint="99"/>
              </w:rPr>
            </w:pPr>
          </w:p>
          <w:p w:rsidR="005C664B" w:rsidRPr="005C664B" w:rsidRDefault="005C664B" w:rsidP="005C664B">
            <w:pPr>
              <w:autoSpaceDE w:val="0"/>
              <w:autoSpaceDN w:val="0"/>
              <w:adjustRightInd w:val="0"/>
              <w:rPr>
                <w:rFonts w:ascii="Franklin Gothic Book" w:hAnsi="Franklin Gothic Book" w:cs="Arial"/>
                <w:color w:val="548DD4" w:themeColor="text2" w:themeTint="99"/>
              </w:rPr>
            </w:pPr>
            <w:r>
              <w:rPr>
                <w:rFonts w:ascii="Franklin Gothic Book" w:hAnsi="Franklin Gothic Book" w:cs="Arial"/>
                <w:color w:val="548DD4" w:themeColor="text2" w:themeTint="99"/>
              </w:rPr>
              <w:t xml:space="preserve">Currently the Department is gathering information for the 2015-2016 school year. There is evidence that there will be additional growth in dual credit offerings. This department has not been privy to the meetings with CTE leadership and ISD’s. Therefore, this department is not able to determine if new dual credit course offerings will be upcoming based on these meetings. </w:t>
            </w:r>
          </w:p>
          <w:p w:rsidR="008F43B9" w:rsidRPr="005C664B" w:rsidRDefault="008F43B9" w:rsidP="005C664B">
            <w:pPr>
              <w:pStyle w:val="ListParagraph"/>
              <w:ind w:left="117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5C664B"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Strategic Plan mentions Tech Prep courses. The Tech Prep program was disbanded in 2012 due to state budget cuts. The term Tech Prep needs to be changed to address articulated credit or workforce education credit. </w:t>
            </w: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E76D42">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lastRenderedPageBreak/>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4122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4122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4122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4122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141229" w:rsidP="00186DF0">
            <w:pPr>
              <w:pStyle w:val="ListParagraph"/>
              <w:ind w:left="0"/>
              <w:jc w:val="center"/>
              <w:rPr>
                <w:rFonts w:ascii="Franklin Gothic Book" w:hAnsi="Franklin Gothic Book"/>
                <w:color w:val="FF0000"/>
              </w:rPr>
            </w:pPr>
            <w:r>
              <w:rPr>
                <w:rFonts w:ascii="Franklin Gothic Book" w:hAnsi="Franklin Gothic Book"/>
                <w:color w:val="FF0000"/>
              </w:rPr>
              <w:t>Y</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14122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11"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5C664B" w:rsidRPr="005C664B" w:rsidRDefault="005C664B" w:rsidP="005C664B">
            <w:pPr>
              <w:rPr>
                <w:rFonts w:ascii="Franklin Gothic Book" w:hAnsi="Franklin Gothic Book"/>
                <w:color w:val="4F81BD" w:themeColor="accent1"/>
              </w:rPr>
            </w:pPr>
            <w:r>
              <w:rPr>
                <w:rFonts w:ascii="Franklin Gothic Book" w:hAnsi="Franklin Gothic Book"/>
                <w:color w:val="4F81BD" w:themeColor="accent1"/>
              </w:rPr>
              <w:t>The Department provided printed information on student responsibilities in the following forms:</w:t>
            </w:r>
          </w:p>
          <w:p w:rsidR="005C664B" w:rsidRPr="00CC7F40" w:rsidRDefault="005C664B" w:rsidP="00CC7F40">
            <w:pPr>
              <w:pStyle w:val="ListParagraph"/>
              <w:numPr>
                <w:ilvl w:val="0"/>
                <w:numId w:val="42"/>
              </w:numPr>
              <w:rPr>
                <w:rFonts w:ascii="Franklin Gothic Book" w:hAnsi="Franklin Gothic Book"/>
                <w:color w:val="4F81BD" w:themeColor="accent1"/>
              </w:rPr>
            </w:pPr>
            <w:r w:rsidRPr="00CC7F40">
              <w:rPr>
                <w:rFonts w:ascii="Franklin Gothic Book" w:hAnsi="Franklin Gothic Book"/>
                <w:color w:val="4F81BD" w:themeColor="accent1"/>
              </w:rPr>
              <w:t xml:space="preserve">The Dual Credit Student Information Packet, </w:t>
            </w:r>
          </w:p>
          <w:p w:rsidR="005C664B" w:rsidRPr="00CC7F40" w:rsidRDefault="005C664B" w:rsidP="00CC7F40">
            <w:pPr>
              <w:pStyle w:val="ListParagraph"/>
              <w:numPr>
                <w:ilvl w:val="0"/>
                <w:numId w:val="42"/>
              </w:numPr>
              <w:rPr>
                <w:rFonts w:ascii="Franklin Gothic Book" w:hAnsi="Franklin Gothic Book"/>
                <w:color w:val="4F81BD" w:themeColor="accent1"/>
              </w:rPr>
            </w:pPr>
            <w:r w:rsidRPr="00CC7F40">
              <w:rPr>
                <w:rFonts w:ascii="Franklin Gothic Book" w:hAnsi="Franklin Gothic Book"/>
                <w:color w:val="4F81BD" w:themeColor="accent1"/>
              </w:rPr>
              <w:t xml:space="preserve">Dual Credit “How to Apply” information, </w:t>
            </w:r>
          </w:p>
          <w:p w:rsidR="005C664B" w:rsidRPr="00CC7F40" w:rsidRDefault="005C664B" w:rsidP="00CC7F40">
            <w:pPr>
              <w:pStyle w:val="ListParagraph"/>
              <w:numPr>
                <w:ilvl w:val="0"/>
                <w:numId w:val="42"/>
              </w:numPr>
              <w:rPr>
                <w:rFonts w:ascii="Franklin Gothic Book" w:hAnsi="Franklin Gothic Book"/>
                <w:color w:val="4F81BD" w:themeColor="accent1"/>
              </w:rPr>
            </w:pPr>
            <w:r w:rsidRPr="00CC7F40">
              <w:rPr>
                <w:rFonts w:ascii="Franklin Gothic Book" w:hAnsi="Franklin Gothic Book"/>
                <w:color w:val="4F81BD" w:themeColor="accent1"/>
              </w:rPr>
              <w:t xml:space="preserve">Dual Credit “How to Register” Checklist </w:t>
            </w:r>
          </w:p>
          <w:p w:rsidR="005C664B" w:rsidRPr="00CC7F40" w:rsidRDefault="005C664B" w:rsidP="00CC7F40">
            <w:pPr>
              <w:pStyle w:val="ListParagraph"/>
              <w:numPr>
                <w:ilvl w:val="0"/>
                <w:numId w:val="42"/>
              </w:numPr>
              <w:rPr>
                <w:rFonts w:ascii="Franklin Gothic Book" w:hAnsi="Franklin Gothic Book"/>
                <w:color w:val="4F81BD" w:themeColor="accent1"/>
              </w:rPr>
            </w:pPr>
            <w:r w:rsidRPr="00CC7F40">
              <w:rPr>
                <w:rFonts w:ascii="Franklin Gothic Book" w:hAnsi="Franklin Gothic Book"/>
                <w:color w:val="4F81BD" w:themeColor="accent1"/>
              </w:rPr>
              <w:t xml:space="preserve">Dual Credit Webpage, </w:t>
            </w:r>
            <w:hyperlink r:id="rId12" w:history="1">
              <w:r w:rsidRPr="00CC7F40">
                <w:rPr>
                  <w:rStyle w:val="Hyperlink"/>
                  <w:rFonts w:ascii="Franklin Gothic Book" w:hAnsi="Franklin Gothic Book"/>
                </w:rPr>
                <w:t>https://www.actx.edu/dualcredit/</w:t>
              </w:r>
            </w:hyperlink>
          </w:p>
          <w:p w:rsidR="00875A4E" w:rsidRDefault="00875A4E" w:rsidP="00CC7F40">
            <w:pPr>
              <w:rPr>
                <w:rFonts w:ascii="Franklin Gothic Book" w:hAnsi="Franklin Gothic Book"/>
                <w:color w:val="4F81BD" w:themeColor="accent1"/>
              </w:rPr>
            </w:pPr>
          </w:p>
          <w:p w:rsidR="00CC7F40" w:rsidRDefault="00CC7F40" w:rsidP="00CC7F40">
            <w:pPr>
              <w:rPr>
                <w:rFonts w:ascii="Franklin Gothic Book" w:hAnsi="Franklin Gothic Book"/>
                <w:color w:val="4F81BD" w:themeColor="accent1"/>
              </w:rPr>
            </w:pPr>
            <w:r>
              <w:rPr>
                <w:rFonts w:ascii="Franklin Gothic Book" w:hAnsi="Franklin Gothic Book"/>
                <w:color w:val="4F81BD" w:themeColor="accent1"/>
              </w:rPr>
              <w:t>This year I have worked with two students who were filing a grievance. They received information from the materials provided. Numerous students have requested transcripts be sent to other universities. And, over 2,000 students registered themselves. Therefore, the information provided seems to be adequate.</w:t>
            </w:r>
          </w:p>
          <w:p w:rsidR="00CC7F40" w:rsidRPr="004D3599" w:rsidRDefault="00CC7F40" w:rsidP="00CC7F40">
            <w:pPr>
              <w:rPr>
                <w:rFonts w:ascii="Franklin Gothic Book" w:hAnsi="Franklin Gothic Book"/>
                <w:color w:val="4F81BD" w:themeColor="accent1"/>
              </w:rPr>
            </w:pP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box/es)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CC7F40" w:rsidP="00CC7F40">
            <w:pPr>
              <w:pStyle w:val="ListParagraph"/>
              <w:ind w:left="0"/>
              <w:jc w:val="center"/>
              <w:rPr>
                <w:rFonts w:ascii="Franklin Gothic Book" w:hAnsi="Franklin Gothic Book"/>
                <w:b/>
                <w:sz w:val="24"/>
              </w:rPr>
            </w:pPr>
            <w:r>
              <w:rPr>
                <w:rFonts w:ascii="Franklin Gothic Book" w:hAnsi="Franklin Gothic Book"/>
                <w:b/>
                <w:sz w:val="24"/>
              </w:rPr>
              <w:t>X</w:t>
            </w:r>
          </w:p>
        </w:tc>
        <w:tc>
          <w:tcPr>
            <w:tcW w:w="1954" w:type="dxa"/>
          </w:tcPr>
          <w:p w:rsidR="00780BF1" w:rsidRDefault="00CC7F40" w:rsidP="00CC7F40">
            <w:pPr>
              <w:pStyle w:val="ListParagraph"/>
              <w:ind w:left="0"/>
              <w:jc w:val="center"/>
              <w:rPr>
                <w:rFonts w:ascii="Franklin Gothic Book" w:hAnsi="Franklin Gothic Book"/>
                <w:b/>
                <w:sz w:val="24"/>
              </w:rPr>
            </w:pPr>
            <w:r>
              <w:rPr>
                <w:rFonts w:ascii="Franklin Gothic Book" w:hAnsi="Franklin Gothic Book"/>
                <w:b/>
                <w:sz w:val="24"/>
              </w:rPr>
              <w:t>X</w:t>
            </w:r>
          </w:p>
        </w:tc>
        <w:tc>
          <w:tcPr>
            <w:tcW w:w="1986" w:type="dxa"/>
          </w:tcPr>
          <w:p w:rsidR="00780BF1" w:rsidRDefault="00CC7F40" w:rsidP="00CC7F40">
            <w:pPr>
              <w:pStyle w:val="ListParagraph"/>
              <w:ind w:left="0"/>
              <w:jc w:val="center"/>
              <w:rPr>
                <w:rFonts w:ascii="Franklin Gothic Book" w:hAnsi="Franklin Gothic Book"/>
                <w:b/>
                <w:sz w:val="24"/>
              </w:rPr>
            </w:pPr>
            <w:r>
              <w:rPr>
                <w:rFonts w:ascii="Franklin Gothic Book" w:hAnsi="Franklin Gothic Book"/>
                <w:b/>
                <w:sz w:val="24"/>
              </w:rPr>
              <w:t>X</w:t>
            </w:r>
          </w:p>
        </w:tc>
        <w:tc>
          <w:tcPr>
            <w:tcW w:w="1952" w:type="dxa"/>
          </w:tcPr>
          <w:p w:rsidR="00780BF1" w:rsidRDefault="00CC7F40" w:rsidP="00CC7F40">
            <w:pPr>
              <w:pStyle w:val="ListParagraph"/>
              <w:ind w:left="0"/>
              <w:jc w:val="center"/>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D647FC">
      <w:pPr>
        <w:spacing w:after="0"/>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Pr="004D3599" w:rsidRDefault="00CC7F4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 dedicated advisor is being assigned to the dual degree program. This will allow more consistent advising for these students trying to obtain a high school diploma and an associate’s degree in the same time frame. </w:t>
            </w:r>
          </w:p>
        </w:tc>
      </w:tr>
    </w:tbl>
    <w:p w:rsidR="00A801E9" w:rsidRDefault="00D647FC" w:rsidP="00780BF1">
      <w:pPr>
        <w:pStyle w:val="ListParagraph"/>
        <w:ind w:left="1170"/>
        <w:rPr>
          <w:rFonts w:ascii="Franklin Gothic Book" w:hAnsi="Franklin Gothic Book"/>
          <w:b/>
          <w:sz w:val="24"/>
        </w:rPr>
      </w:pPr>
      <w:r>
        <w:rPr>
          <w:rFonts w:ascii="Franklin Gothic Book" w:hAnsi="Franklin Gothic Book"/>
          <w:b/>
          <w:sz w:val="24"/>
        </w:rPr>
        <w:br/>
      </w:r>
      <w:r>
        <w:rPr>
          <w:rFonts w:ascii="Franklin Gothic Book" w:hAnsi="Franklin Gothic Book"/>
          <w:b/>
          <w:sz w:val="24"/>
        </w:rPr>
        <w:br/>
      </w:r>
    </w:p>
    <w:p w:rsidR="00617F8B" w:rsidRDefault="00D647FC" w:rsidP="00780BF1">
      <w:pPr>
        <w:pStyle w:val="ListParagraph"/>
        <w:ind w:left="1170"/>
        <w:rPr>
          <w:rFonts w:ascii="Franklin Gothic Book" w:hAnsi="Franklin Gothic Book"/>
          <w:b/>
          <w:sz w:val="24"/>
        </w:rPr>
      </w:pPr>
      <w:r>
        <w:rPr>
          <w:rFonts w:ascii="Franklin Gothic Book" w:hAnsi="Franklin Gothic Book"/>
          <w:b/>
          <w:sz w:val="24"/>
        </w:rPr>
        <w:br/>
      </w:r>
      <w:r w:rsidR="006615AF">
        <w:rPr>
          <w:rFonts w:ascii="Franklin Gothic Book" w:hAnsi="Franklin Gothic Book"/>
          <w:b/>
          <w:sz w:val="24"/>
        </w:rPr>
        <w:br/>
      </w:r>
    </w:p>
    <w:p w:rsidR="00E02198" w:rsidRPr="00631A9B" w:rsidRDefault="00E02198" w:rsidP="00E76D42">
      <w:pPr>
        <w:pStyle w:val="IntenseQuote"/>
        <w:spacing w:after="0"/>
        <w:rPr>
          <w:color w:val="auto"/>
          <w:sz w:val="24"/>
        </w:rPr>
      </w:pPr>
      <w:r w:rsidRPr="00631A9B">
        <w:rPr>
          <w:sz w:val="24"/>
        </w:rPr>
        <w:lastRenderedPageBreak/>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CC7F40" w:rsidRDefault="00CC7F40" w:rsidP="00CC7F40">
            <w:pPr>
              <w:pStyle w:val="ListParagraph"/>
              <w:numPr>
                <w:ilvl w:val="0"/>
                <w:numId w:val="43"/>
              </w:numPr>
              <w:rPr>
                <w:rFonts w:ascii="Franklin Gothic Book" w:hAnsi="Franklin Gothic Book"/>
                <w:color w:val="4F81BD" w:themeColor="accent1"/>
              </w:rPr>
            </w:pPr>
            <w:r>
              <w:rPr>
                <w:rFonts w:ascii="Franklin Gothic Book" w:hAnsi="Franklin Gothic Book"/>
                <w:color w:val="4F81BD" w:themeColor="accent1"/>
              </w:rPr>
              <w:t>F</w:t>
            </w:r>
            <w:r w:rsidR="00F51DAD">
              <w:rPr>
                <w:rFonts w:ascii="Franklin Gothic Book" w:hAnsi="Franklin Gothic Book"/>
                <w:color w:val="4F81BD" w:themeColor="accent1"/>
              </w:rPr>
              <w:t>E</w:t>
            </w:r>
            <w:r>
              <w:rPr>
                <w:rFonts w:ascii="Franklin Gothic Book" w:hAnsi="Franklin Gothic Book"/>
                <w:color w:val="4F81BD" w:themeColor="accent1"/>
              </w:rPr>
              <w:t>RPA guidelines are published in the “Dual Credit Student Information Packet.”</w:t>
            </w:r>
          </w:p>
          <w:p w:rsidR="00B01E2C" w:rsidRPr="00F51DAD" w:rsidRDefault="00CC7F40" w:rsidP="00F51DAD">
            <w:pPr>
              <w:pStyle w:val="ListParagraph"/>
              <w:numPr>
                <w:ilvl w:val="0"/>
                <w:numId w:val="43"/>
              </w:numPr>
              <w:rPr>
                <w:rFonts w:ascii="Franklin Gothic Book" w:hAnsi="Franklin Gothic Book"/>
                <w:color w:val="4F81BD" w:themeColor="accent1"/>
              </w:rPr>
            </w:pPr>
            <w:r>
              <w:rPr>
                <w:rFonts w:ascii="Franklin Gothic Book" w:hAnsi="Franklin Gothic Book"/>
                <w:color w:val="4F81BD" w:themeColor="accent1"/>
              </w:rPr>
              <w:t xml:space="preserve">Dual credit gains permission to share academic information between the college and high school on the application for admission. </w:t>
            </w: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7B3C43">
      <w:pPr>
        <w:pStyle w:val="ListParagraph"/>
        <w:numPr>
          <w:ilvl w:val="0"/>
          <w:numId w:val="33"/>
        </w:numPr>
        <w:spacing w:after="0"/>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CC7F40" w:rsidRPr="00CC7F40" w:rsidRDefault="00CC7F40" w:rsidP="00CC7F40">
            <w:pPr>
              <w:rPr>
                <w:rFonts w:ascii="Franklin Gothic Book" w:hAnsi="Franklin Gothic Book"/>
                <w:color w:val="4F81BD" w:themeColor="accent1"/>
              </w:rPr>
            </w:pPr>
            <w:r w:rsidRPr="00CC7F40">
              <w:rPr>
                <w:rFonts w:ascii="Franklin Gothic Book" w:hAnsi="Franklin Gothic Book"/>
                <w:color w:val="4F81BD" w:themeColor="accent1"/>
              </w:rPr>
              <w:t xml:space="preserve">I only have one employee. We discuss the process and follow the College procedures addressed in the Student Handbook. </w:t>
            </w:r>
          </w:p>
          <w:p w:rsidR="00B01E2C" w:rsidRPr="00CC7F40" w:rsidRDefault="00B01E2C" w:rsidP="00CC7F40">
            <w:pPr>
              <w:pStyle w:val="ListParagraph"/>
              <w:ind w:left="1260"/>
              <w:rPr>
                <w:rFonts w:ascii="Franklin Gothic Book" w:hAnsi="Franklin Gothic Book"/>
                <w:color w:val="4F81BD" w:themeColor="accent1"/>
              </w:rPr>
            </w:pPr>
          </w:p>
        </w:tc>
      </w:tr>
    </w:tbl>
    <w:p w:rsidR="00A67AE7" w:rsidRPr="00E76D42" w:rsidRDefault="00A67AE7" w:rsidP="00E76D42">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CC7F4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 – The majority of complaints to this department are TSI requirements and registration deadlines. The Department has no ability to change TSI requirements. The requirements are set by the THECB. And, the Department works diligently to uphold AC policies and procedures. Since no late registration is one of those policies</w:t>
            </w:r>
            <w:r w:rsidR="00277472">
              <w:rPr>
                <w:rFonts w:ascii="Franklin Gothic Book" w:hAnsi="Franklin Gothic Book"/>
                <w:color w:val="4F81BD" w:themeColor="accent1"/>
              </w:rPr>
              <w:t>, we will not make changes to allow registration passed the posted deadlines.</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277472"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AC changed the </w:t>
            </w:r>
            <w:hyperlink r:id="rId13" w:history="1">
              <w:r w:rsidRPr="00277472">
                <w:rPr>
                  <w:rStyle w:val="Hyperlink"/>
                  <w:rFonts w:ascii="Franklin Gothic Book" w:hAnsi="Franklin Gothic Book"/>
                </w:rPr>
                <w:t>TSI requirements</w:t>
              </w:r>
            </w:hyperlink>
            <w:r>
              <w:rPr>
                <w:rFonts w:ascii="Franklin Gothic Book" w:hAnsi="Franklin Gothic Book"/>
                <w:color w:val="4F81BD" w:themeColor="accent1"/>
              </w:rPr>
              <w:t xml:space="preserve"> for dual credit students base on a ruling in the July 2014 meeting of the THECB. </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277472"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7B3C43" w:rsidP="005D0E07">
      <w:pPr>
        <w:pStyle w:val="ListParagraph"/>
        <w:ind w:left="1260"/>
        <w:rPr>
          <w:rFonts w:ascii="Franklin Gothic Book" w:hAnsi="Franklin Gothic Book"/>
          <w:sz w:val="24"/>
        </w:rPr>
      </w:pPr>
      <w:r>
        <w:rPr>
          <w:rFonts w:ascii="Franklin Gothic Book" w:hAnsi="Franklin Gothic Book"/>
          <w:sz w:val="24"/>
        </w:rPr>
        <w:br/>
      </w:r>
      <w:r>
        <w:rPr>
          <w:rFonts w:ascii="Franklin Gothic Book" w:hAnsi="Franklin Gothic Book"/>
          <w:sz w:val="24"/>
        </w:rPr>
        <w:br/>
      </w:r>
    </w:p>
    <w:p w:rsidR="00175D8F" w:rsidRPr="00631A9B" w:rsidRDefault="00175D8F" w:rsidP="00E76D42">
      <w:pPr>
        <w:pStyle w:val="IntenseQuote"/>
        <w:spacing w:after="0"/>
        <w:rPr>
          <w:color w:val="auto"/>
          <w:sz w:val="24"/>
        </w:rPr>
      </w:pPr>
      <w:r w:rsidRPr="00631A9B">
        <w:rPr>
          <w:sz w:val="24"/>
        </w:rPr>
        <w:lastRenderedPageBreak/>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277472"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There is no financial aid for dual credit students. </w:t>
            </w:r>
            <w:r w:rsidR="001151EA">
              <w:rPr>
                <w:rFonts w:ascii="Franklin Gothic Book" w:hAnsi="Franklin Gothic Book"/>
                <w:color w:val="4F81BD" w:themeColor="accent1"/>
              </w:rPr>
              <w:t xml:space="preserve">The </w:t>
            </w:r>
            <w:hyperlink r:id="rId14" w:history="1">
              <w:r w:rsidR="001151EA" w:rsidRPr="001151EA">
                <w:rPr>
                  <w:rStyle w:val="Hyperlink"/>
                  <w:rFonts w:ascii="Franklin Gothic Book" w:hAnsi="Franklin Gothic Book"/>
                </w:rPr>
                <w:t>Department of Education</w:t>
              </w:r>
            </w:hyperlink>
            <w:r w:rsidR="001151EA">
              <w:rPr>
                <w:rFonts w:ascii="Franklin Gothic Book" w:hAnsi="Franklin Gothic Book"/>
                <w:color w:val="4F81BD" w:themeColor="accent1"/>
              </w:rPr>
              <w:t xml:space="preserve"> requires that a student must be graduated from high school or have a GED to be eligible for financial</w:t>
            </w:r>
            <w:r w:rsidR="001F4F76">
              <w:rPr>
                <w:rFonts w:ascii="Franklin Gothic Book" w:hAnsi="Franklin Gothic Book"/>
                <w:color w:val="4F81BD" w:themeColor="accent1"/>
              </w:rPr>
              <w:t xml:space="preserve"> aid</w:t>
            </w:r>
            <w:r w:rsidR="001151EA">
              <w:rPr>
                <w:rFonts w:ascii="Franklin Gothic Book" w:hAnsi="Franklin Gothic Book"/>
                <w:color w:val="4F81BD" w:themeColor="accent1"/>
              </w:rPr>
              <w:t xml:space="preserve">. AC follows these guidelines in its financial aid policy. </w:t>
            </w:r>
            <w:r>
              <w:rPr>
                <w:rFonts w:ascii="Franklin Gothic Book" w:hAnsi="Franklin Gothic Book"/>
                <w:color w:val="4F81BD" w:themeColor="accent1"/>
              </w:rPr>
              <w:t>Dual credit is an excellent way to attract first generation college students. Yet, many of these families cannot afford an additional $150-$200 per semester for tuition plus the cost of books or access codes. With no financial aid, the students are simply not able to participate in the program.</w:t>
            </w:r>
            <w:r w:rsidR="00EC4AAB">
              <w:rPr>
                <w:rFonts w:ascii="Franklin Gothic Book" w:hAnsi="Franklin Gothic Book"/>
                <w:color w:val="4F81BD" w:themeColor="accent1"/>
              </w:rPr>
              <w:t xml:space="preserve"> It would be nice if a local dual credit scholarship fund could be established. </w:t>
            </w:r>
          </w:p>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8BE" w:rsidRDefault="009858BE" w:rsidP="005834C6">
      <w:pPr>
        <w:spacing w:after="0" w:line="240" w:lineRule="auto"/>
      </w:pPr>
      <w:r>
        <w:separator/>
      </w:r>
    </w:p>
  </w:endnote>
  <w:endnote w:type="continuationSeparator" w:id="0">
    <w:p w:rsidR="009858BE" w:rsidRDefault="009858BE"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86D06" w:rsidRPr="00886D06">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8BE" w:rsidRDefault="009858BE" w:rsidP="005834C6">
      <w:pPr>
        <w:spacing w:after="0" w:line="240" w:lineRule="auto"/>
      </w:pPr>
      <w:r>
        <w:separator/>
      </w:r>
    </w:p>
  </w:footnote>
  <w:footnote w:type="continuationSeparator" w:id="0">
    <w:p w:rsidR="009858BE" w:rsidRDefault="009858BE"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4C36ED0"/>
    <w:multiLevelType w:val="hybridMultilevel"/>
    <w:tmpl w:val="BEBA6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663C64"/>
    <w:multiLevelType w:val="hybridMultilevel"/>
    <w:tmpl w:val="B9B04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ED71857"/>
    <w:multiLevelType w:val="multilevel"/>
    <w:tmpl w:val="153E3E16"/>
    <w:lvl w:ilvl="0">
      <w:start w:val="1"/>
      <w:numFmt w:val="decimal"/>
      <w:lvlText w:val="%1."/>
      <w:lvlJc w:val="left"/>
      <w:pPr>
        <w:ind w:left="720" w:hanging="360"/>
      </w:pPr>
      <w:rPr>
        <w:rFonts w:hint="default"/>
      </w:rPr>
    </w:lvl>
    <w:lvl w:ilvl="1">
      <w:start w:val="2"/>
      <w:numFmt w:val="decimal"/>
      <w:isLgl/>
      <w:lvlText w:val="%1.%2"/>
      <w:lvlJc w:val="left"/>
      <w:pPr>
        <w:ind w:left="1365" w:hanging="570"/>
      </w:pPr>
      <w:rPr>
        <w:rFonts w:hint="default"/>
      </w:rPr>
    </w:lvl>
    <w:lvl w:ilvl="2">
      <w:start w:val="3"/>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640" w:hanging="1800"/>
      </w:pPr>
      <w:rPr>
        <w:rFonts w:hint="default"/>
      </w:rPr>
    </w:lvl>
  </w:abstractNum>
  <w:abstractNum w:abstractNumId="17"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A556F9C"/>
    <w:multiLevelType w:val="hybridMultilevel"/>
    <w:tmpl w:val="F31A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4D0063C"/>
    <w:multiLevelType w:val="hybridMultilevel"/>
    <w:tmpl w:val="2D3CC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A830B98"/>
    <w:multiLevelType w:val="hybridMultilevel"/>
    <w:tmpl w:val="6324C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6"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0"/>
  </w:num>
  <w:num w:numId="2">
    <w:abstractNumId w:val="4"/>
  </w:num>
  <w:num w:numId="3">
    <w:abstractNumId w:val="7"/>
  </w:num>
  <w:num w:numId="4">
    <w:abstractNumId w:val="35"/>
  </w:num>
  <w:num w:numId="5">
    <w:abstractNumId w:val="0"/>
  </w:num>
  <w:num w:numId="6">
    <w:abstractNumId w:val="24"/>
  </w:num>
  <w:num w:numId="7">
    <w:abstractNumId w:val="22"/>
  </w:num>
  <w:num w:numId="8">
    <w:abstractNumId w:val="41"/>
  </w:num>
  <w:num w:numId="9">
    <w:abstractNumId w:val="18"/>
  </w:num>
  <w:num w:numId="10">
    <w:abstractNumId w:val="37"/>
  </w:num>
  <w:num w:numId="11">
    <w:abstractNumId w:val="17"/>
  </w:num>
  <w:num w:numId="12">
    <w:abstractNumId w:val="38"/>
  </w:num>
  <w:num w:numId="13">
    <w:abstractNumId w:val="39"/>
  </w:num>
  <w:num w:numId="14">
    <w:abstractNumId w:val="14"/>
  </w:num>
  <w:num w:numId="15">
    <w:abstractNumId w:val="26"/>
  </w:num>
  <w:num w:numId="16">
    <w:abstractNumId w:val="19"/>
  </w:num>
  <w:num w:numId="17">
    <w:abstractNumId w:val="27"/>
  </w:num>
  <w:num w:numId="18">
    <w:abstractNumId w:val="34"/>
  </w:num>
  <w:num w:numId="19">
    <w:abstractNumId w:val="15"/>
  </w:num>
  <w:num w:numId="20">
    <w:abstractNumId w:val="6"/>
  </w:num>
  <w:num w:numId="21">
    <w:abstractNumId w:val="3"/>
  </w:num>
  <w:num w:numId="22">
    <w:abstractNumId w:val="23"/>
  </w:num>
  <w:num w:numId="23">
    <w:abstractNumId w:val="2"/>
  </w:num>
  <w:num w:numId="24">
    <w:abstractNumId w:val="13"/>
  </w:num>
  <w:num w:numId="25">
    <w:abstractNumId w:val="20"/>
  </w:num>
  <w:num w:numId="26">
    <w:abstractNumId w:val="8"/>
  </w:num>
  <w:num w:numId="27">
    <w:abstractNumId w:val="30"/>
  </w:num>
  <w:num w:numId="28">
    <w:abstractNumId w:val="36"/>
  </w:num>
  <w:num w:numId="29">
    <w:abstractNumId w:val="5"/>
  </w:num>
  <w:num w:numId="30">
    <w:abstractNumId w:val="42"/>
  </w:num>
  <w:num w:numId="31">
    <w:abstractNumId w:val="33"/>
  </w:num>
  <w:num w:numId="32">
    <w:abstractNumId w:val="12"/>
  </w:num>
  <w:num w:numId="33">
    <w:abstractNumId w:val="31"/>
  </w:num>
  <w:num w:numId="34">
    <w:abstractNumId w:val="21"/>
  </w:num>
  <w:num w:numId="35">
    <w:abstractNumId w:val="11"/>
  </w:num>
  <w:num w:numId="36">
    <w:abstractNumId w:val="9"/>
  </w:num>
  <w:num w:numId="37">
    <w:abstractNumId w:val="29"/>
  </w:num>
  <w:num w:numId="38">
    <w:abstractNumId w:val="1"/>
  </w:num>
  <w:num w:numId="39">
    <w:abstractNumId w:val="10"/>
  </w:num>
  <w:num w:numId="40">
    <w:abstractNumId w:val="32"/>
  </w:num>
  <w:num w:numId="41">
    <w:abstractNumId w:val="16"/>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44C9"/>
    <w:rsid w:val="0009106E"/>
    <w:rsid w:val="000B5B02"/>
    <w:rsid w:val="000C410A"/>
    <w:rsid w:val="000C7DF3"/>
    <w:rsid w:val="000C7ED0"/>
    <w:rsid w:val="000E73E1"/>
    <w:rsid w:val="000F190E"/>
    <w:rsid w:val="000F1B84"/>
    <w:rsid w:val="000F28EB"/>
    <w:rsid w:val="00101040"/>
    <w:rsid w:val="00114123"/>
    <w:rsid w:val="001151EA"/>
    <w:rsid w:val="001277A4"/>
    <w:rsid w:val="00141229"/>
    <w:rsid w:val="0015287B"/>
    <w:rsid w:val="0015620B"/>
    <w:rsid w:val="001712F8"/>
    <w:rsid w:val="0017254E"/>
    <w:rsid w:val="0017415F"/>
    <w:rsid w:val="00175D8F"/>
    <w:rsid w:val="00193343"/>
    <w:rsid w:val="001A2394"/>
    <w:rsid w:val="001A6A0D"/>
    <w:rsid w:val="001A6CC5"/>
    <w:rsid w:val="001B00A0"/>
    <w:rsid w:val="001C3D6B"/>
    <w:rsid w:val="001C4427"/>
    <w:rsid w:val="001E1DF9"/>
    <w:rsid w:val="001E5673"/>
    <w:rsid w:val="001E6F0A"/>
    <w:rsid w:val="001F4F76"/>
    <w:rsid w:val="002063F7"/>
    <w:rsid w:val="00210504"/>
    <w:rsid w:val="00210C10"/>
    <w:rsid w:val="00213F55"/>
    <w:rsid w:val="00226752"/>
    <w:rsid w:val="00231CB3"/>
    <w:rsid w:val="00235CDC"/>
    <w:rsid w:val="00245107"/>
    <w:rsid w:val="00246A14"/>
    <w:rsid w:val="00251A53"/>
    <w:rsid w:val="002556B2"/>
    <w:rsid w:val="002639A7"/>
    <w:rsid w:val="00267773"/>
    <w:rsid w:val="002731E4"/>
    <w:rsid w:val="0027477E"/>
    <w:rsid w:val="00277472"/>
    <w:rsid w:val="00281B68"/>
    <w:rsid w:val="00283916"/>
    <w:rsid w:val="00284449"/>
    <w:rsid w:val="00286FA2"/>
    <w:rsid w:val="002915B8"/>
    <w:rsid w:val="00293945"/>
    <w:rsid w:val="00294E38"/>
    <w:rsid w:val="00295BB1"/>
    <w:rsid w:val="002A0EA6"/>
    <w:rsid w:val="002A262A"/>
    <w:rsid w:val="002A625D"/>
    <w:rsid w:val="002B667B"/>
    <w:rsid w:val="002B7410"/>
    <w:rsid w:val="002C5602"/>
    <w:rsid w:val="002C69B8"/>
    <w:rsid w:val="002C6E61"/>
    <w:rsid w:val="002F24F9"/>
    <w:rsid w:val="002F2F64"/>
    <w:rsid w:val="002F4743"/>
    <w:rsid w:val="00317B6F"/>
    <w:rsid w:val="003366F1"/>
    <w:rsid w:val="00337131"/>
    <w:rsid w:val="003605E9"/>
    <w:rsid w:val="003630E9"/>
    <w:rsid w:val="00364A7D"/>
    <w:rsid w:val="00365545"/>
    <w:rsid w:val="003714A0"/>
    <w:rsid w:val="0037417D"/>
    <w:rsid w:val="003838ED"/>
    <w:rsid w:val="0038644E"/>
    <w:rsid w:val="003A175F"/>
    <w:rsid w:val="003B51A0"/>
    <w:rsid w:val="003B70A1"/>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B2463"/>
    <w:rsid w:val="004D0433"/>
    <w:rsid w:val="004D3599"/>
    <w:rsid w:val="004D4390"/>
    <w:rsid w:val="004E2929"/>
    <w:rsid w:val="004F0BAC"/>
    <w:rsid w:val="004F3A91"/>
    <w:rsid w:val="00503388"/>
    <w:rsid w:val="00510A26"/>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1E93"/>
    <w:rsid w:val="005C664B"/>
    <w:rsid w:val="005C7497"/>
    <w:rsid w:val="005D0E07"/>
    <w:rsid w:val="0060185F"/>
    <w:rsid w:val="00607F64"/>
    <w:rsid w:val="00614426"/>
    <w:rsid w:val="00617F8B"/>
    <w:rsid w:val="00627AAF"/>
    <w:rsid w:val="00631A9B"/>
    <w:rsid w:val="00641E9D"/>
    <w:rsid w:val="0065490E"/>
    <w:rsid w:val="006615AF"/>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DB0"/>
    <w:rsid w:val="00734407"/>
    <w:rsid w:val="007405F8"/>
    <w:rsid w:val="007525CB"/>
    <w:rsid w:val="007541E6"/>
    <w:rsid w:val="00755196"/>
    <w:rsid w:val="007563CD"/>
    <w:rsid w:val="00770313"/>
    <w:rsid w:val="00780BF1"/>
    <w:rsid w:val="00782A2D"/>
    <w:rsid w:val="007866E4"/>
    <w:rsid w:val="007A14CD"/>
    <w:rsid w:val="007A2301"/>
    <w:rsid w:val="007A4B36"/>
    <w:rsid w:val="007A5DC3"/>
    <w:rsid w:val="007B01A6"/>
    <w:rsid w:val="007B102F"/>
    <w:rsid w:val="007B3C43"/>
    <w:rsid w:val="007B4AAB"/>
    <w:rsid w:val="007B64E4"/>
    <w:rsid w:val="007B65A5"/>
    <w:rsid w:val="007C345D"/>
    <w:rsid w:val="007C7343"/>
    <w:rsid w:val="007D7BD2"/>
    <w:rsid w:val="007E1243"/>
    <w:rsid w:val="007E240D"/>
    <w:rsid w:val="007E5CB6"/>
    <w:rsid w:val="007E6E01"/>
    <w:rsid w:val="007F0D4B"/>
    <w:rsid w:val="007F5E65"/>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86D06"/>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1B35"/>
    <w:rsid w:val="00974421"/>
    <w:rsid w:val="00981CE8"/>
    <w:rsid w:val="00983C3F"/>
    <w:rsid w:val="009858BE"/>
    <w:rsid w:val="00993B54"/>
    <w:rsid w:val="00997374"/>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6B6B"/>
    <w:rsid w:val="00BA5FD7"/>
    <w:rsid w:val="00BB19E8"/>
    <w:rsid w:val="00BB1C87"/>
    <w:rsid w:val="00BC2C75"/>
    <w:rsid w:val="00BD1F58"/>
    <w:rsid w:val="00C0147D"/>
    <w:rsid w:val="00C14035"/>
    <w:rsid w:val="00C140E0"/>
    <w:rsid w:val="00C17AC3"/>
    <w:rsid w:val="00C35B42"/>
    <w:rsid w:val="00C37A81"/>
    <w:rsid w:val="00C4372B"/>
    <w:rsid w:val="00C44020"/>
    <w:rsid w:val="00C64A7C"/>
    <w:rsid w:val="00C75ED7"/>
    <w:rsid w:val="00C91B03"/>
    <w:rsid w:val="00CA0371"/>
    <w:rsid w:val="00CB0260"/>
    <w:rsid w:val="00CB6DC4"/>
    <w:rsid w:val="00CC3149"/>
    <w:rsid w:val="00CC7E78"/>
    <w:rsid w:val="00CC7F40"/>
    <w:rsid w:val="00CD3270"/>
    <w:rsid w:val="00CD6C97"/>
    <w:rsid w:val="00CE52FA"/>
    <w:rsid w:val="00D008A8"/>
    <w:rsid w:val="00D01E39"/>
    <w:rsid w:val="00D03659"/>
    <w:rsid w:val="00D11FFB"/>
    <w:rsid w:val="00D12FA2"/>
    <w:rsid w:val="00D13B21"/>
    <w:rsid w:val="00D14CCD"/>
    <w:rsid w:val="00D16D01"/>
    <w:rsid w:val="00D22FE0"/>
    <w:rsid w:val="00D30426"/>
    <w:rsid w:val="00D31C93"/>
    <w:rsid w:val="00D356AB"/>
    <w:rsid w:val="00D379AB"/>
    <w:rsid w:val="00D37FCD"/>
    <w:rsid w:val="00D42D3F"/>
    <w:rsid w:val="00D45714"/>
    <w:rsid w:val="00D53436"/>
    <w:rsid w:val="00D54E6A"/>
    <w:rsid w:val="00D63EA1"/>
    <w:rsid w:val="00D647FC"/>
    <w:rsid w:val="00D701ED"/>
    <w:rsid w:val="00D7301B"/>
    <w:rsid w:val="00D96362"/>
    <w:rsid w:val="00DA3F0D"/>
    <w:rsid w:val="00DB49B3"/>
    <w:rsid w:val="00DB4F93"/>
    <w:rsid w:val="00DB5890"/>
    <w:rsid w:val="00DC0330"/>
    <w:rsid w:val="00DD0152"/>
    <w:rsid w:val="00DD3893"/>
    <w:rsid w:val="00DE096E"/>
    <w:rsid w:val="00DE2128"/>
    <w:rsid w:val="00DE5764"/>
    <w:rsid w:val="00E02198"/>
    <w:rsid w:val="00E11859"/>
    <w:rsid w:val="00E13FD9"/>
    <w:rsid w:val="00E21ACE"/>
    <w:rsid w:val="00E249FD"/>
    <w:rsid w:val="00E25B42"/>
    <w:rsid w:val="00E26794"/>
    <w:rsid w:val="00E36D44"/>
    <w:rsid w:val="00E37BA9"/>
    <w:rsid w:val="00E4054C"/>
    <w:rsid w:val="00E44A7C"/>
    <w:rsid w:val="00E54AC3"/>
    <w:rsid w:val="00E5779F"/>
    <w:rsid w:val="00E67483"/>
    <w:rsid w:val="00E72FDF"/>
    <w:rsid w:val="00E747DD"/>
    <w:rsid w:val="00E76D42"/>
    <w:rsid w:val="00EA1690"/>
    <w:rsid w:val="00EA17B8"/>
    <w:rsid w:val="00EA7713"/>
    <w:rsid w:val="00EC4AAB"/>
    <w:rsid w:val="00EC6AA6"/>
    <w:rsid w:val="00ED120D"/>
    <w:rsid w:val="00ED6BB6"/>
    <w:rsid w:val="00EF0844"/>
    <w:rsid w:val="00EF5CF9"/>
    <w:rsid w:val="00EF6447"/>
    <w:rsid w:val="00F150D3"/>
    <w:rsid w:val="00F25085"/>
    <w:rsid w:val="00F51DAD"/>
    <w:rsid w:val="00F5389C"/>
    <w:rsid w:val="00F60BF2"/>
    <w:rsid w:val="00F73063"/>
    <w:rsid w:val="00F80AA0"/>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4C405A-F698-45F0-8E04-A3BB70FD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x.edu/bus/paymentplan" TargetMode="External"/><Relationship Id="rId13" Type="http://schemas.openxmlformats.org/officeDocument/2006/relationships/hyperlink" Target="http://texreg.sos.state.tx.us/public/readtac$ext.TacPage?sl=R&amp;app=2&amp;p_dir=&amp;p_rloc=168305&amp;p_tloc=&amp;p_ploc=&amp;pg=1&amp;p_tac=168305&amp;ti=19&amp;pt=1&amp;ch=4&amp;rl=85&amp;dt=&amp;z_chk=1200100&amp;z_contains=dual%20credit" TargetMode="External"/><Relationship Id="rId3" Type="http://schemas.openxmlformats.org/officeDocument/2006/relationships/settings" Target="settings.xml"/><Relationship Id="rId7" Type="http://schemas.openxmlformats.org/officeDocument/2006/relationships/hyperlink" Target="http://texreg.sos.state.tx.us/public/readtac$ext.TacPage?sl=R&amp;app=2&amp;p_dir=&amp;p_rloc=168305&amp;p_tloc=&amp;p_ploc=&amp;pg=1&amp;p_tac=168305&amp;ti=19&amp;pt=1&amp;ch=4&amp;rl=85&amp;dt=&amp;z_chk=1174389&amp;z_contains=dual%20credit" TargetMode="External"/><Relationship Id="rId12" Type="http://schemas.openxmlformats.org/officeDocument/2006/relationships/hyperlink" Target="https://www.actx.edu/dualcre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x.edu/iea/filecabinet/42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research.actx.edu/html/databook/dbtbl2ee.html" TargetMode="External"/><Relationship Id="rId4" Type="http://schemas.openxmlformats.org/officeDocument/2006/relationships/webSettings" Target="webSettings.xml"/><Relationship Id="rId9" Type="http://schemas.openxmlformats.org/officeDocument/2006/relationships/hyperlink" Target="https://iresearch.actx.edu/html/databook/dbtbl1a.html" TargetMode="External"/><Relationship Id="rId14" Type="http://schemas.openxmlformats.org/officeDocument/2006/relationships/hyperlink" Target="https://www.actx.edu/fin/index.php?module=article&amp;id=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18</cp:revision>
  <cp:lastPrinted>2013-07-15T14:12:00Z</cp:lastPrinted>
  <dcterms:created xsi:type="dcterms:W3CDTF">2015-03-04T21:58:00Z</dcterms:created>
  <dcterms:modified xsi:type="dcterms:W3CDTF">2016-06-26T23:43:00Z</dcterms:modified>
</cp:coreProperties>
</file>