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47B48"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8C0316">
        <w:rPr>
          <w:rFonts w:asciiTheme="majorHAnsi" w:hAnsiTheme="majorHAnsi"/>
          <w:b/>
          <w:color w:val="EEECE1" w:themeColor="background2"/>
          <w:sz w:val="24"/>
        </w:rPr>
        <w:t>Institutional Effectiveness</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A561F"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Institutional Effectiveness (IE Office)</w:t>
            </w:r>
          </w:p>
        </w:tc>
      </w:tr>
    </w:tbl>
    <w:p w:rsidR="00614426" w:rsidRDefault="00614426" w:rsidP="00614426">
      <w:pPr>
        <w:pStyle w:val="ListParagraph"/>
        <w:ind w:left="1296"/>
        <w:rPr>
          <w:b/>
          <w:sz w:val="24"/>
        </w:rPr>
      </w:pPr>
    </w:p>
    <w:p w:rsidR="00614426" w:rsidRDefault="00614426" w:rsidP="002A561F">
      <w:pPr>
        <w:pStyle w:val="ListParagraph"/>
        <w:numPr>
          <w:ilvl w:val="0"/>
          <w:numId w:val="16"/>
        </w:numPr>
        <w:spacing w:after="0"/>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776EE4">
        <w:tc>
          <w:tcPr>
            <w:tcW w:w="8640" w:type="dxa"/>
          </w:tcPr>
          <w:p w:rsidR="00614426" w:rsidRPr="002A561F" w:rsidRDefault="002A561F" w:rsidP="002A561F">
            <w:pPr>
              <w:pStyle w:val="Default"/>
              <w:rPr>
                <w:sz w:val="22"/>
                <w:szCs w:val="22"/>
              </w:rPr>
            </w:pPr>
            <w:r>
              <w:rPr>
                <w:color w:val="4E81BC"/>
                <w:sz w:val="22"/>
                <w:szCs w:val="22"/>
              </w:rPr>
              <w:t xml:space="preserve">The primary purpose of the Office of Institutional Effectiveness is to lead college-wide assessment efforts and provide the institution information that leads to improvement through outcomes, surveys, corresponding assessments, and data-based decision making (Updated Fall 2014). </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776EE4">
        <w:tc>
          <w:tcPr>
            <w:tcW w:w="8640" w:type="dxa"/>
          </w:tcPr>
          <w:p w:rsidR="000E73E1" w:rsidRPr="004D3599" w:rsidRDefault="002A561F"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 Review Year</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A561F"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8/1/2015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776EE4">
        <w:tc>
          <w:tcPr>
            <w:tcW w:w="8640" w:type="dxa"/>
          </w:tcPr>
          <w:p w:rsidR="00770313" w:rsidRPr="00770313" w:rsidRDefault="00770313" w:rsidP="00776EE4">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E46E2A">
              <w:rPr>
                <w:rFonts w:ascii="Franklin Gothic Book" w:hAnsi="Franklin Gothic Book"/>
                <w:color w:val="4F81BD" w:themeColor="accent1"/>
              </w:rPr>
              <w:t xml:space="preserve"> Kristin McDonald-Willey</w:t>
            </w:r>
          </w:p>
          <w:p w:rsidR="00770313" w:rsidRPr="00770313" w:rsidRDefault="00770313" w:rsidP="00776EE4">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E46E2A">
              <w:rPr>
                <w:rFonts w:ascii="Franklin Gothic Book" w:hAnsi="Franklin Gothic Book"/>
                <w:color w:val="4F81BD" w:themeColor="accent1"/>
              </w:rPr>
              <w:t xml:space="preserve"> Director of Institutional Effectiveness</w:t>
            </w:r>
          </w:p>
          <w:p w:rsidR="00770313" w:rsidRPr="00770313" w:rsidRDefault="00770313" w:rsidP="00776EE4">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E46E2A">
              <w:rPr>
                <w:rFonts w:ascii="Franklin Gothic Book" w:hAnsi="Franklin Gothic Book"/>
                <w:color w:val="4F81BD" w:themeColor="accent1"/>
              </w:rPr>
              <w:t xml:space="preserve"> </w:t>
            </w:r>
            <w:hyperlink r:id="rId7" w:history="1">
              <w:r w:rsidR="00E46E2A" w:rsidRPr="00236D3D">
                <w:rPr>
                  <w:rStyle w:val="Hyperlink"/>
                  <w:rFonts w:ascii="Franklin Gothic Book" w:hAnsi="Franklin Gothic Book"/>
                </w:rPr>
                <w:t>kmw@actx.edu</w:t>
              </w:r>
            </w:hyperlink>
            <w:r w:rsidR="00E46E2A">
              <w:rPr>
                <w:rFonts w:ascii="Franklin Gothic Book" w:hAnsi="Franklin Gothic Book"/>
                <w:color w:val="4F81BD" w:themeColor="accent1"/>
              </w:rPr>
              <w:t xml:space="preserve"> </w:t>
            </w:r>
          </w:p>
          <w:p w:rsidR="00770313" w:rsidRPr="00770313" w:rsidRDefault="00770313" w:rsidP="00776EE4">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E46E2A">
              <w:rPr>
                <w:rFonts w:ascii="Franklin Gothic Book" w:hAnsi="Franklin Gothic Book"/>
                <w:color w:val="4F81BD" w:themeColor="accent1"/>
              </w:rPr>
              <w:t xml:space="preserve"> 806-371-5420</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E46E2A"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4D3599" w:rsidRPr="004D3599" w:rsidRDefault="004D3599" w:rsidP="00776EE4">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776EE4">
        <w:tc>
          <w:tcPr>
            <w:tcW w:w="8640" w:type="dxa"/>
          </w:tcPr>
          <w:p w:rsidR="007866E4" w:rsidRDefault="00E46E2A"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I am scheduled to begin assisting with more state reports in the future</w:t>
            </w:r>
            <w:r w:rsidR="00855712">
              <w:rPr>
                <w:rFonts w:ascii="Franklin Gothic Book" w:hAnsi="Franklin Gothic Book"/>
                <w:color w:val="4F81BD" w:themeColor="accent1"/>
              </w:rPr>
              <w:t xml:space="preserve"> related to the THECB inventory database and workforce</w:t>
            </w:r>
            <w:r>
              <w:rPr>
                <w:rFonts w:ascii="Franklin Gothic Book" w:hAnsi="Franklin Gothic Book"/>
                <w:color w:val="4F81BD" w:themeColor="accent1"/>
              </w:rPr>
              <w:t>, but for the time being I work on the following reports:</w:t>
            </w:r>
          </w:p>
          <w:p w:rsidR="00B5778C" w:rsidRDefault="00B5778C" w:rsidP="00776EE4">
            <w:pPr>
              <w:pStyle w:val="ListParagraph"/>
              <w:ind w:left="0"/>
              <w:rPr>
                <w:rFonts w:ascii="Franklin Gothic Book" w:hAnsi="Franklin Gothic Book"/>
                <w:color w:val="4F81BD" w:themeColor="accent1"/>
              </w:rPr>
            </w:pPr>
          </w:p>
          <w:p w:rsidR="00E46E2A" w:rsidRPr="00E46E2A" w:rsidRDefault="00E46E2A"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Pr>
                <w:rFonts w:ascii="Franklin Gothic Book" w:hAnsi="Franklin Gothic Book"/>
                <w:b/>
                <w:color w:val="4F81BD" w:themeColor="accent1"/>
                <w:u w:val="single"/>
              </w:rPr>
              <w:t xml:space="preserve">Assessment Reports </w:t>
            </w:r>
            <w:r w:rsidRPr="00421AF9">
              <w:rPr>
                <w:rFonts w:ascii="Franklin Gothic Book" w:hAnsi="Franklin Gothic Book"/>
                <w:b/>
                <w:color w:val="4F81BD" w:themeColor="accent1"/>
              </w:rPr>
              <w:t xml:space="preserve">– </w:t>
            </w:r>
            <w:r>
              <w:rPr>
                <w:rFonts w:ascii="Franklin Gothic Book" w:hAnsi="Franklin Gothic Book"/>
                <w:color w:val="4F81BD" w:themeColor="accent1"/>
              </w:rPr>
              <w:t xml:space="preserve">Links to past reports may be found in the </w:t>
            </w:r>
            <w:hyperlink r:id="rId8" w:history="1">
              <w:r w:rsidRPr="00E46E2A">
                <w:rPr>
                  <w:rStyle w:val="Hyperlink"/>
                  <w:rFonts w:ascii="Franklin Gothic Book" w:hAnsi="Franklin Gothic Book"/>
                </w:rPr>
                <w:t>Library Archives</w:t>
              </w:r>
            </w:hyperlink>
            <w:r w:rsidR="00855712">
              <w:rPr>
                <w:rFonts w:ascii="Franklin Gothic Book" w:hAnsi="Franklin Gothic Book"/>
                <w:color w:val="4F81BD" w:themeColor="accent1"/>
              </w:rPr>
              <w:t xml:space="preserve"> or off the various pages linked from the </w:t>
            </w:r>
            <w:hyperlink r:id="rId9" w:history="1">
              <w:r w:rsidR="00855712" w:rsidRPr="00855712">
                <w:rPr>
                  <w:rStyle w:val="Hyperlink"/>
                  <w:rFonts w:ascii="Franklin Gothic Book" w:hAnsi="Franklin Gothic Book"/>
                </w:rPr>
                <w:t>Assessment Home page</w:t>
              </w:r>
            </w:hyperlink>
            <w:r w:rsidR="00855712">
              <w:rPr>
                <w:rFonts w:ascii="Franklin Gothic Book" w:hAnsi="Franklin Gothic Book"/>
                <w:color w:val="4F81BD" w:themeColor="accent1"/>
              </w:rPr>
              <w:t xml:space="preserve">. </w:t>
            </w:r>
            <w:r w:rsidR="00B5778C">
              <w:rPr>
                <w:rFonts w:ascii="Franklin Gothic Book" w:hAnsi="Franklin Gothic Book"/>
                <w:color w:val="4F81BD" w:themeColor="accent1"/>
              </w:rPr>
              <w:t xml:space="preserve">Reports with which I’ve assisted include instructional/non-instructional reports (PET forms, program review, and now these annual reports), strategic plan reports, general education/core curriculum reports, and other related assessment reports. </w:t>
            </w:r>
            <w:r w:rsidR="00855712">
              <w:rPr>
                <w:rFonts w:ascii="Franklin Gothic Book" w:hAnsi="Franklin Gothic Book"/>
                <w:color w:val="4F81BD" w:themeColor="accent1"/>
              </w:rPr>
              <w:t xml:space="preserve">Sample Report: </w:t>
            </w:r>
            <w:hyperlink r:id="rId10" w:history="1">
              <w:r w:rsidR="00855712" w:rsidRPr="00855712">
                <w:rPr>
                  <w:rStyle w:val="Hyperlink"/>
                  <w:rFonts w:ascii="Franklin Gothic Book" w:hAnsi="Franklin Gothic Book"/>
                </w:rPr>
                <w:t>2013-2014 Non-Instructional Report.</w:t>
              </w:r>
            </w:hyperlink>
            <w:r w:rsidR="00855712">
              <w:rPr>
                <w:rFonts w:ascii="Franklin Gothic Book" w:hAnsi="Franklin Gothic Book"/>
                <w:color w:val="4F81BD" w:themeColor="accent1"/>
              </w:rPr>
              <w:t xml:space="preserve"> </w:t>
            </w:r>
          </w:p>
          <w:p w:rsidR="007866E4" w:rsidRDefault="007866E4" w:rsidP="00776EE4">
            <w:pPr>
              <w:pStyle w:val="ListParagraph"/>
              <w:ind w:left="0"/>
              <w:rPr>
                <w:rFonts w:ascii="Franklin Gothic Book" w:hAnsi="Franklin Gothic Book"/>
                <w:color w:val="4F81BD" w:themeColor="accent1"/>
              </w:rPr>
            </w:pPr>
          </w:p>
          <w:p w:rsidR="00B5778C" w:rsidRDefault="00B5778C"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w:t>
            </w:r>
            <w:r>
              <w:rPr>
                <w:rFonts w:ascii="Franklin Gothic Book" w:hAnsi="Franklin Gothic Book"/>
                <w:b/>
                <w:color w:val="4F81BD" w:themeColor="accent1"/>
                <w:u w:val="single"/>
              </w:rPr>
              <w:t>External Reports</w:t>
            </w:r>
            <w:r>
              <w:rPr>
                <w:rFonts w:ascii="Franklin Gothic Book" w:hAnsi="Franklin Gothic Book"/>
                <w:color w:val="4F81BD" w:themeColor="accent1"/>
                <w:u w:val="single"/>
              </w:rPr>
              <w:t xml:space="preserve"> </w:t>
            </w:r>
            <w:r w:rsidRPr="00421AF9">
              <w:rPr>
                <w:rFonts w:ascii="Franklin Gothic Book" w:hAnsi="Franklin Gothic Book"/>
                <w:color w:val="4F81BD" w:themeColor="accent1"/>
              </w:rPr>
              <w:t>–</w:t>
            </w:r>
            <w:r>
              <w:rPr>
                <w:rFonts w:ascii="Franklin Gothic Book" w:hAnsi="Franklin Gothic Book"/>
                <w:color w:val="4F81BD" w:themeColor="accent1"/>
              </w:rPr>
              <w:t xml:space="preserve"> Reports to stakeholders such as No Limits No Excuses (NLNE) are significant to the AC community. NLNE is focused on helping low-income adults attain higher education credentials and obtain a living-wage job. One subcommittee is the NLNE Data Team which gathers data to submit to the NLNE Core Team (decision makers) to guide strategic planning for NLNE. </w:t>
            </w:r>
          </w:p>
          <w:p w:rsidR="00B5778C" w:rsidRDefault="00B5778C"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Sample NLNE Report:</w:t>
            </w:r>
          </w:p>
          <w:p w:rsidR="00B5778C" w:rsidRDefault="00B5778C"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1" o:title=""/>
                </v:shape>
                <o:OLEObject Type="Embed" ProgID="Excel.Sheet.12" ShapeID="_x0000_i1025" DrawAspect="Icon" ObjectID="_1528477523" r:id="rId12"/>
              </w:object>
            </w:r>
          </w:p>
          <w:p w:rsidR="00421AF9" w:rsidRDefault="00421AF9" w:rsidP="00776EE4">
            <w:pPr>
              <w:pStyle w:val="ListParagraph"/>
              <w:ind w:left="0"/>
              <w:rPr>
                <w:rFonts w:ascii="Franklin Gothic Book" w:hAnsi="Franklin Gothic Book"/>
                <w:color w:val="4F81BD" w:themeColor="accent1"/>
              </w:rPr>
            </w:pPr>
          </w:p>
          <w:p w:rsidR="00421AF9" w:rsidRDefault="00421AF9"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3) </w:t>
            </w:r>
            <w:r>
              <w:rPr>
                <w:rFonts w:ascii="Franklin Gothic Book" w:hAnsi="Franklin Gothic Book"/>
                <w:b/>
                <w:color w:val="4F81BD" w:themeColor="accent1"/>
                <w:u w:val="single"/>
              </w:rPr>
              <w:t>Institutional Reports</w:t>
            </w:r>
            <w:r w:rsidRPr="00421AF9">
              <w:rPr>
                <w:rFonts w:ascii="Franklin Gothic Book" w:hAnsi="Franklin Gothic Book"/>
                <w:b/>
                <w:color w:val="4F81BD" w:themeColor="accent1"/>
              </w:rPr>
              <w:t xml:space="preserve"> – </w:t>
            </w:r>
            <w:r>
              <w:rPr>
                <w:rFonts w:ascii="Franklin Gothic Book" w:hAnsi="Franklin Gothic Book"/>
                <w:color w:val="4F81BD" w:themeColor="accent1"/>
              </w:rPr>
              <w:t>Reports to institutional stakeholders such as the Dual Credit department are significant to the institutional department/community. In the instance of dual credit, schools have requested data to fulfill the HB 5 initiative. I regularly produce many reports each month, but for the purposes of this document, I will provide an example to a DC document.</w:t>
            </w:r>
          </w:p>
          <w:p w:rsidR="00421AF9" w:rsidRDefault="00421AF9" w:rsidP="00776EE4">
            <w:pPr>
              <w:pStyle w:val="ListParagraph"/>
              <w:ind w:left="0"/>
              <w:rPr>
                <w:rFonts w:ascii="Franklin Gothic Book" w:hAnsi="Franklin Gothic Book"/>
                <w:color w:val="4F81BD" w:themeColor="accent1"/>
                <w:u w:val="single"/>
              </w:rPr>
            </w:pPr>
            <w:r>
              <w:rPr>
                <w:rFonts w:ascii="Franklin Gothic Book" w:hAnsi="Franklin Gothic Book"/>
                <w:color w:val="4F81BD" w:themeColor="accent1"/>
                <w:u w:val="single"/>
              </w:rPr>
              <w:t>Sample DC Report</w:t>
            </w:r>
          </w:p>
          <w:bookmarkStart w:id="0" w:name="_MON_1528473512"/>
          <w:bookmarkEnd w:id="0"/>
          <w:p w:rsidR="00421AF9" w:rsidRPr="00421AF9" w:rsidRDefault="00421AF9" w:rsidP="00776EE4">
            <w:pPr>
              <w:pStyle w:val="ListParagraph"/>
              <w:ind w:left="0"/>
              <w:rPr>
                <w:rFonts w:ascii="Franklin Gothic Book" w:hAnsi="Franklin Gothic Book"/>
                <w:color w:val="4F81BD" w:themeColor="accent1"/>
                <w:u w:val="single"/>
              </w:rPr>
            </w:pPr>
            <w:r>
              <w:rPr>
                <w:rFonts w:ascii="Franklin Gothic Book" w:hAnsi="Franklin Gothic Book"/>
                <w:color w:val="4F81BD" w:themeColor="accent1"/>
                <w:u w:val="single"/>
              </w:rPr>
              <w:object w:dxaOrig="1513" w:dyaOrig="984">
                <v:shape id="_x0000_i1026" type="#_x0000_t75" style="width:75.6pt;height:49.2pt" o:ole="">
                  <v:imagedata r:id="rId13" o:title=""/>
                </v:shape>
                <o:OLEObject Type="Embed" ProgID="Word.Document.12" ShapeID="_x0000_i1026" DrawAspect="Icon" ObjectID="_1528477524" r:id="rId14">
                  <o:FieldCodes>\s</o:FieldCodes>
                </o:OLEObject>
              </w:objec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776EE4">
        <w:tc>
          <w:tcPr>
            <w:tcW w:w="3633" w:type="dxa"/>
            <w:vAlign w:val="center"/>
          </w:tcPr>
          <w:p w:rsidR="00A350F8" w:rsidRDefault="001A6CC5" w:rsidP="00776EE4">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776EE4">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776EE4">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776EE4">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776EE4">
        <w:tc>
          <w:tcPr>
            <w:tcW w:w="3633" w:type="dxa"/>
          </w:tcPr>
          <w:p w:rsidR="00A350F8" w:rsidRPr="00EF0844" w:rsidRDefault="00C35B42" w:rsidP="00776EE4">
            <w:pPr>
              <w:rPr>
                <w:rFonts w:ascii="Franklin Gothic Book" w:hAnsi="Franklin Gothic Book"/>
              </w:rPr>
            </w:pPr>
            <w:r>
              <w:rPr>
                <w:rFonts w:ascii="Franklin Gothic Book" w:hAnsi="Franklin Gothic Book"/>
              </w:rPr>
              <w:t>1.</w:t>
            </w:r>
            <w:r w:rsidR="00421AF9">
              <w:rPr>
                <w:rFonts w:ascii="Franklin Gothic Book" w:hAnsi="Franklin Gothic Book"/>
              </w:rPr>
              <w:t xml:space="preserve"> Assessment Reports</w:t>
            </w:r>
          </w:p>
        </w:tc>
        <w:tc>
          <w:tcPr>
            <w:tcW w:w="1767" w:type="dxa"/>
          </w:tcPr>
          <w:p w:rsidR="00A350F8" w:rsidRPr="00FF0E36" w:rsidRDefault="00A350F8" w:rsidP="00776EE4">
            <w:pPr>
              <w:jc w:val="center"/>
              <w:rPr>
                <w:rFonts w:ascii="Franklin Gothic Book" w:hAnsi="Franklin Gothic Book"/>
                <w:color w:val="FF0000"/>
              </w:rPr>
            </w:pPr>
          </w:p>
        </w:tc>
        <w:tc>
          <w:tcPr>
            <w:tcW w:w="1589" w:type="dxa"/>
          </w:tcPr>
          <w:p w:rsidR="00A350F8" w:rsidRPr="00FF0E36" w:rsidRDefault="00421AF9" w:rsidP="00776EE4">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776EE4">
            <w:pPr>
              <w:jc w:val="center"/>
              <w:rPr>
                <w:rFonts w:ascii="Franklin Gothic Book" w:hAnsi="Franklin Gothic Book"/>
                <w:color w:val="FF0000"/>
              </w:rPr>
            </w:pPr>
          </w:p>
        </w:tc>
      </w:tr>
      <w:tr w:rsidR="00A350F8" w:rsidTr="00776EE4">
        <w:tc>
          <w:tcPr>
            <w:tcW w:w="3633" w:type="dxa"/>
          </w:tcPr>
          <w:p w:rsidR="00A350F8" w:rsidRPr="00EF0844" w:rsidRDefault="00C35B42" w:rsidP="00776EE4">
            <w:pPr>
              <w:rPr>
                <w:rFonts w:ascii="Franklin Gothic Book" w:hAnsi="Franklin Gothic Book"/>
              </w:rPr>
            </w:pPr>
            <w:r>
              <w:rPr>
                <w:rFonts w:ascii="Franklin Gothic Book" w:hAnsi="Franklin Gothic Book"/>
              </w:rPr>
              <w:t>2.</w:t>
            </w:r>
            <w:r w:rsidR="00421AF9">
              <w:rPr>
                <w:rFonts w:ascii="Franklin Gothic Book" w:hAnsi="Franklin Gothic Book"/>
              </w:rPr>
              <w:t xml:space="preserve"> External Reports</w:t>
            </w:r>
          </w:p>
        </w:tc>
        <w:tc>
          <w:tcPr>
            <w:tcW w:w="1767" w:type="dxa"/>
          </w:tcPr>
          <w:p w:rsidR="00A350F8" w:rsidRPr="00FF0E36" w:rsidRDefault="00A350F8" w:rsidP="00776EE4">
            <w:pPr>
              <w:jc w:val="center"/>
              <w:rPr>
                <w:rFonts w:ascii="Franklin Gothic Book" w:hAnsi="Franklin Gothic Book"/>
                <w:color w:val="FF0000"/>
              </w:rPr>
            </w:pPr>
          </w:p>
        </w:tc>
        <w:tc>
          <w:tcPr>
            <w:tcW w:w="1589" w:type="dxa"/>
          </w:tcPr>
          <w:p w:rsidR="00A350F8" w:rsidRPr="00FF0E36" w:rsidRDefault="00421AF9" w:rsidP="00776EE4">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776EE4">
            <w:pPr>
              <w:jc w:val="center"/>
              <w:rPr>
                <w:rFonts w:ascii="Franklin Gothic Book" w:hAnsi="Franklin Gothic Book"/>
                <w:color w:val="FF0000"/>
              </w:rPr>
            </w:pPr>
          </w:p>
        </w:tc>
      </w:tr>
      <w:tr w:rsidR="00A350F8" w:rsidTr="00776EE4">
        <w:tc>
          <w:tcPr>
            <w:tcW w:w="3633" w:type="dxa"/>
          </w:tcPr>
          <w:p w:rsidR="00A350F8" w:rsidRPr="00EF0844" w:rsidRDefault="00C35B42" w:rsidP="00776EE4">
            <w:pPr>
              <w:rPr>
                <w:rFonts w:ascii="Franklin Gothic Book" w:hAnsi="Franklin Gothic Book"/>
              </w:rPr>
            </w:pPr>
            <w:r>
              <w:rPr>
                <w:rFonts w:ascii="Franklin Gothic Book" w:hAnsi="Franklin Gothic Book"/>
              </w:rPr>
              <w:t>3.</w:t>
            </w:r>
            <w:r w:rsidR="00421AF9">
              <w:rPr>
                <w:rFonts w:ascii="Franklin Gothic Book" w:hAnsi="Franklin Gothic Book"/>
              </w:rPr>
              <w:t xml:space="preserve"> Institutional Reports</w:t>
            </w:r>
          </w:p>
        </w:tc>
        <w:tc>
          <w:tcPr>
            <w:tcW w:w="1767" w:type="dxa"/>
          </w:tcPr>
          <w:p w:rsidR="00A350F8" w:rsidRPr="00FF0E36" w:rsidRDefault="00A350F8" w:rsidP="00776EE4">
            <w:pPr>
              <w:jc w:val="center"/>
              <w:rPr>
                <w:rFonts w:ascii="Franklin Gothic Book" w:hAnsi="Franklin Gothic Book"/>
                <w:color w:val="FF0000"/>
              </w:rPr>
            </w:pPr>
          </w:p>
        </w:tc>
        <w:tc>
          <w:tcPr>
            <w:tcW w:w="1589" w:type="dxa"/>
          </w:tcPr>
          <w:p w:rsidR="00A350F8" w:rsidRPr="00FF0E36" w:rsidRDefault="00421AF9" w:rsidP="00776EE4">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776EE4">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lastRenderedPageBreak/>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776EE4">
        <w:tc>
          <w:tcPr>
            <w:tcW w:w="8640" w:type="dxa"/>
          </w:tcPr>
          <w:p w:rsidR="00D30426" w:rsidRPr="004D3599" w:rsidRDefault="00597C26"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N/A – No area marked as “Needs Improvement”</w:t>
            </w:r>
          </w:p>
          <w:p w:rsidR="00D30426" w:rsidRPr="004D3599" w:rsidRDefault="00D30426" w:rsidP="00776EE4">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776EE4">
        <w:tc>
          <w:tcPr>
            <w:tcW w:w="8640" w:type="dxa"/>
          </w:tcPr>
          <w:p w:rsidR="00597C26" w:rsidRDefault="00597C26"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Overall, the reporting is provided pretty seamlessly. However, there’s always room for improvement.</w:t>
            </w:r>
          </w:p>
          <w:p w:rsidR="00597C26" w:rsidRDefault="00597C26" w:rsidP="00776EE4">
            <w:pPr>
              <w:pStyle w:val="ListParagraph"/>
              <w:ind w:left="0"/>
              <w:rPr>
                <w:rFonts w:ascii="Franklin Gothic Book" w:hAnsi="Franklin Gothic Book"/>
                <w:color w:val="4F81BD" w:themeColor="accent1"/>
              </w:rPr>
            </w:pPr>
          </w:p>
          <w:p w:rsidR="00597C26" w:rsidRDefault="00597C26"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u w:val="single"/>
              </w:rPr>
              <w:t>1. Assessment Reports</w:t>
            </w:r>
            <w:r>
              <w:rPr>
                <w:rFonts w:ascii="Franklin Gothic Book" w:hAnsi="Franklin Gothic Book"/>
                <w:color w:val="4F81BD" w:themeColor="accent1"/>
              </w:rPr>
              <w:t>: Getting enough committee members together so that the results can be complied and distributed to instructional/non-instructional employees continues to be a challenge and as a result, the report is not compiled and shared as early as it could be. IE should continue to seek ways to review responses and disseminate data in a more timely fashion.</w:t>
            </w:r>
          </w:p>
          <w:p w:rsidR="00597C26" w:rsidRDefault="00597C26" w:rsidP="00776EE4">
            <w:pPr>
              <w:pStyle w:val="ListParagraph"/>
              <w:ind w:left="0"/>
              <w:rPr>
                <w:rFonts w:ascii="Franklin Gothic Book" w:hAnsi="Franklin Gothic Book"/>
                <w:color w:val="4F81BD" w:themeColor="accent1"/>
              </w:rPr>
            </w:pPr>
          </w:p>
          <w:p w:rsidR="00DB49B3" w:rsidRPr="004D3599" w:rsidRDefault="00597C26"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u w:val="single"/>
              </w:rPr>
              <w:t xml:space="preserve">2. External Reports and Institutional Reports: </w:t>
            </w:r>
            <w:r>
              <w:rPr>
                <w:rFonts w:ascii="Franklin Gothic Book" w:hAnsi="Franklin Gothic Book"/>
                <w:color w:val="4F81BD" w:themeColor="accent1"/>
              </w:rPr>
              <w:t>Getting “clean” data continues to be an issue in tabulating data that can be trusted and is reliable. I would benefit AC staff to gather more purposefully to discuss the data. For example, I have been in discussions with IT, IR, and Registrar this year with issues related to a student’s end date which skews current major enrollment tabulations.</w:t>
            </w: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776EE4">
        <w:tc>
          <w:tcPr>
            <w:tcW w:w="4050" w:type="dxa"/>
          </w:tcPr>
          <w:p w:rsidR="00365545" w:rsidRDefault="00365545" w:rsidP="00776EE4">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776EE4">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776EE4">
        <w:tc>
          <w:tcPr>
            <w:tcW w:w="4050" w:type="dxa"/>
          </w:tcPr>
          <w:p w:rsidR="00365545" w:rsidRPr="00FF0E36" w:rsidRDefault="00C66231" w:rsidP="00776EE4">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776EE4">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C66231"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We collected data for the Graduating Student Survey via Class Climate, but in doing so found that we have a real issue related to both data validity and return rate.</w:t>
            </w:r>
          </w:p>
          <w:p w:rsidR="00C66231" w:rsidRDefault="00C66231" w:rsidP="00776EE4">
            <w:pPr>
              <w:pStyle w:val="ListParagraph"/>
              <w:ind w:left="0"/>
              <w:rPr>
                <w:rFonts w:ascii="Franklin Gothic Book" w:hAnsi="Franklin Gothic Book"/>
                <w:color w:val="4F81BD" w:themeColor="accent1"/>
              </w:rPr>
            </w:pPr>
          </w:p>
          <w:p w:rsidR="00A90B90" w:rsidRDefault="00A90B90" w:rsidP="00A90B9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Within the past few years the Registrar’s Office moved to an automatic graduating procedure which greatly helps our students and raises our completion rates. However, in doing so, it removed the in-between process where students would register for graduation and take this survey as a part of that graduation process. </w:t>
            </w:r>
          </w:p>
          <w:p w:rsidR="00A90B90" w:rsidRDefault="00A90B90" w:rsidP="00A90B90">
            <w:pPr>
              <w:pStyle w:val="ListParagraph"/>
              <w:ind w:left="0"/>
              <w:rPr>
                <w:rFonts w:ascii="Franklin Gothic Book" w:hAnsi="Franklin Gothic Book"/>
                <w:color w:val="4F81BD" w:themeColor="accent1"/>
              </w:rPr>
            </w:pPr>
          </w:p>
          <w:p w:rsidR="00A90B90" w:rsidRDefault="00C66231" w:rsidP="00A90B9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Prior to our moving to Class Climate-based graduating student survey methods, AC’s return rate was almost 100% and we regularly rated as “good” or higher in every category. </w:t>
            </w:r>
            <w:r w:rsidR="00A90B90">
              <w:rPr>
                <w:rFonts w:ascii="Franklin Gothic Book" w:hAnsi="Franklin Gothic Book"/>
                <w:color w:val="4F81BD" w:themeColor="accent1"/>
              </w:rPr>
              <w:t xml:space="preserve"> Also, as part of that process, the survey ran through Colleague and the student ID was linked to their responses so we were able to easily and with accuracy determine which majors gave which responses so we could provide departmental results.</w:t>
            </w:r>
          </w:p>
          <w:p w:rsidR="00A90B90" w:rsidRDefault="00A90B90" w:rsidP="00A90B90">
            <w:pPr>
              <w:pStyle w:val="ListParagraph"/>
              <w:ind w:left="0"/>
              <w:rPr>
                <w:rFonts w:ascii="Franklin Gothic Book" w:hAnsi="Franklin Gothic Book"/>
                <w:color w:val="4F81BD" w:themeColor="accent1"/>
              </w:rPr>
            </w:pPr>
          </w:p>
          <w:p w:rsidR="00C66231" w:rsidRPr="004D3599" w:rsidRDefault="00A90B90" w:rsidP="00A90B9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After moving to the survey option not linked to Colleague, the response rates have plummeted (under 10% for many divisions), are largely negative responses, and it is very difficult to get down to program-level results with ensure accuracy. </w:t>
            </w: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(If applicable) Based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A90B90" w:rsidRDefault="00A90B90"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Unless we can think of a more creative way to get divisions, department, and program-level results, it might be best to eliminate the surveys by division that contain logic trees asking students to identify their major and to instead just go to one survey that has one active link. </w:t>
            </w:r>
          </w:p>
          <w:p w:rsidR="00A90B90" w:rsidRDefault="00A90B90" w:rsidP="00776EE4">
            <w:pPr>
              <w:pStyle w:val="ListParagraph"/>
              <w:ind w:left="0"/>
              <w:rPr>
                <w:rFonts w:ascii="Franklin Gothic Book" w:hAnsi="Franklin Gothic Book"/>
                <w:color w:val="4F81BD" w:themeColor="accent1"/>
              </w:rPr>
            </w:pPr>
          </w:p>
          <w:p w:rsidR="000F1B84" w:rsidRPr="004D3599" w:rsidRDefault="00A90B90" w:rsidP="00A90B90">
            <w:pPr>
              <w:pStyle w:val="ListParagraph"/>
              <w:ind w:left="0"/>
              <w:rPr>
                <w:rFonts w:ascii="Franklin Gothic Book" w:hAnsi="Franklin Gothic Book"/>
                <w:color w:val="4F81BD" w:themeColor="accent1"/>
              </w:rPr>
            </w:pPr>
            <w:r>
              <w:rPr>
                <w:rFonts w:ascii="Franklin Gothic Book" w:hAnsi="Franklin Gothic Book"/>
                <w:color w:val="4F81BD" w:themeColor="accent1"/>
              </w:rPr>
              <w:t>If we go the one survey route, we could send students the link, but could also possibly provide the link to students at other locations (such as Graduation, picking up their diploma, etc.) to hopefully capture more student responses. The downside is that we would not be able to provide broken down results and we need to look into the possibility as to whether or not students could take the survey multiple times.</w:t>
            </w: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776EE4">
            <w:pPr>
              <w:pStyle w:val="ListParagraph"/>
              <w:ind w:left="0"/>
              <w:rPr>
                <w:rFonts w:ascii="Franklin Gothic Book" w:hAnsi="Franklin Gothic Book"/>
                <w:color w:val="4F81BD" w:themeColor="accent1"/>
              </w:rPr>
            </w:pPr>
          </w:p>
          <w:p w:rsidR="000F1B84" w:rsidRPr="004D3599" w:rsidRDefault="000F1B84" w:rsidP="00776EE4">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9D3E54">
      <w:pPr>
        <w:pStyle w:val="ListParagraph"/>
        <w:numPr>
          <w:ilvl w:val="0"/>
          <w:numId w:val="30"/>
        </w:numPr>
        <w:spacing w:after="0"/>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776EE4">
        <w:tc>
          <w:tcPr>
            <w:tcW w:w="8730" w:type="dxa"/>
          </w:tcPr>
          <w:p w:rsidR="009D3E54" w:rsidRDefault="009D3E54" w:rsidP="009D3E54">
            <w:pPr>
              <w:pStyle w:val="Default"/>
            </w:pPr>
            <w:r>
              <w:rPr>
                <w:color w:val="4E81BC"/>
                <w:sz w:val="22"/>
                <w:szCs w:val="22"/>
              </w:rPr>
              <w:t xml:space="preserve">The IE Office seldom works directly with students, but we ensure the “successful completion of a degree, certificate, or transfer” by keeping AC compliant with SACSCOC (regional accreditor) requirements which allows AC to continue to operate as a public, non-for-profit institution that offers degrees. Additionally, this office supports all other No Excuses goals through data support and the collection of information related to No Excuses. </w:t>
            </w:r>
          </w:p>
          <w:p w:rsidR="00F93E99" w:rsidRDefault="00F93E99" w:rsidP="00776EE4">
            <w:pPr>
              <w:pStyle w:val="ListParagraph"/>
              <w:ind w:left="0"/>
              <w:rPr>
                <w:rFonts w:ascii="Franklin Gothic Book" w:hAnsi="Franklin Gothic Book"/>
                <w:color w:val="4F81BD" w:themeColor="accent1"/>
              </w:rPr>
            </w:pPr>
          </w:p>
          <w:p w:rsidR="009D3E54" w:rsidRPr="004D3599" w:rsidRDefault="009D3E54"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We also regularly support all institutional initiatives and committees related to student success.</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F64F54"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I have participated in leading focus groups related to the strategic plan.</w:t>
            </w:r>
          </w:p>
          <w:p w:rsidR="00562EBC" w:rsidRPr="004D3599" w:rsidRDefault="00562EBC" w:rsidP="00776EE4">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64F54">
      <w:pPr>
        <w:pStyle w:val="ListParagraph"/>
        <w:numPr>
          <w:ilvl w:val="0"/>
          <w:numId w:val="34"/>
        </w:numPr>
        <w:spacing w:after="0"/>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776EE4">
        <w:tc>
          <w:tcPr>
            <w:tcW w:w="8730" w:type="dxa"/>
          </w:tcPr>
          <w:p w:rsidR="00F64F54" w:rsidRDefault="00F64F54" w:rsidP="00F64F54">
            <w:pPr>
              <w:pStyle w:val="Default"/>
            </w:pPr>
            <w:r>
              <w:rPr>
                <w:color w:val="4E81BC"/>
                <w:sz w:val="22"/>
                <w:szCs w:val="22"/>
              </w:rPr>
              <w:t>Lead institutional effectiveness processes which prove outcome obtainment.</w:t>
            </w:r>
          </w:p>
          <w:p w:rsidR="005B7109" w:rsidRPr="004D3599" w:rsidRDefault="005B7109" w:rsidP="00776EE4">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776EE4">
        <w:tc>
          <w:tcPr>
            <w:tcW w:w="8730" w:type="dxa"/>
          </w:tcPr>
          <w:p w:rsidR="003876A0" w:rsidRDefault="003876A0"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For the previous year, my focus was on the new core curriculum implementation and non-instructional outcomes so this year’s focus is on the core curriculum assessment and instructional program outcomes.</w:t>
            </w:r>
          </w:p>
          <w:p w:rsidR="003876A0" w:rsidRDefault="003876A0" w:rsidP="00776EE4">
            <w:pPr>
              <w:pStyle w:val="ListParagraph"/>
              <w:ind w:left="0"/>
              <w:rPr>
                <w:rFonts w:ascii="Franklin Gothic Book" w:hAnsi="Franklin Gothic Book"/>
                <w:color w:val="4F81BD" w:themeColor="accent1"/>
              </w:rPr>
            </w:pPr>
          </w:p>
          <w:p w:rsidR="00B618DA" w:rsidRPr="00724A94" w:rsidRDefault="005B3757"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Pr>
                <w:rFonts w:ascii="Franklin Gothic Book" w:hAnsi="Franklin Gothic Book"/>
                <w:color w:val="4F81BD" w:themeColor="accent1"/>
                <w:u w:val="single"/>
              </w:rPr>
              <w:t>Core Curriculum:</w:t>
            </w:r>
            <w:r w:rsidR="00F84ECF">
              <w:rPr>
                <w:rFonts w:ascii="Franklin Gothic Book" w:hAnsi="Franklin Gothic Book"/>
                <w:color w:val="4F81BD" w:themeColor="accent1"/>
                <w:u w:val="single"/>
              </w:rPr>
              <w:t xml:space="preserve"> </w:t>
            </w:r>
            <w:r w:rsidR="00724A94">
              <w:rPr>
                <w:rFonts w:ascii="Franklin Gothic Book" w:hAnsi="Franklin Gothic Book"/>
                <w:color w:val="4F81BD" w:themeColor="accent1"/>
              </w:rPr>
              <w:t>After providing trainings to the Arts &amp; Sciences department heads, program coordinators, and appointed faculty, 80% of the courses that were approved for core curriculum approval will meet the compliance requirements for the THECB as evaluated by the appropriate evaluation checklist.</w:t>
            </w:r>
          </w:p>
          <w:p w:rsidR="005B3757" w:rsidRDefault="005B3757" w:rsidP="00776EE4">
            <w:pPr>
              <w:pStyle w:val="ListParagraph"/>
              <w:ind w:left="0"/>
              <w:rPr>
                <w:rFonts w:ascii="Franklin Gothic Book" w:hAnsi="Franklin Gothic Book"/>
                <w:color w:val="4F81BD" w:themeColor="accent1"/>
                <w:u w:val="single"/>
              </w:rPr>
            </w:pPr>
          </w:p>
          <w:p w:rsidR="00B618DA" w:rsidRPr="004D3599" w:rsidRDefault="005B3757" w:rsidP="003876A0">
            <w:pPr>
              <w:pStyle w:val="ListParagraph"/>
              <w:ind w:left="0"/>
              <w:rPr>
                <w:rFonts w:ascii="Franklin Gothic Book" w:hAnsi="Franklin Gothic Book"/>
                <w:color w:val="4F81BD" w:themeColor="accent1"/>
              </w:rPr>
            </w:pPr>
            <w:r w:rsidRPr="005B3757">
              <w:rPr>
                <w:rFonts w:ascii="Franklin Gothic Book" w:hAnsi="Franklin Gothic Book"/>
                <w:color w:val="4F81BD" w:themeColor="accent1"/>
              </w:rPr>
              <w:t>2.</w:t>
            </w:r>
            <w:r>
              <w:rPr>
                <w:rFonts w:ascii="Franklin Gothic Book" w:hAnsi="Franklin Gothic Book"/>
                <w:color w:val="4F81BD" w:themeColor="accent1"/>
                <w:u w:val="single"/>
              </w:rPr>
              <w:t xml:space="preserve"> Instructional Assessment:</w:t>
            </w:r>
            <w:r w:rsidR="00FB7CCB">
              <w:rPr>
                <w:rFonts w:ascii="Franklin Gothic Book" w:hAnsi="Franklin Gothic Book"/>
                <w:color w:val="4F81BD" w:themeColor="accent1"/>
              </w:rPr>
              <w:t xml:space="preserve"> After receiving training on the new annual review process, 80% of instructional programs will </w:t>
            </w:r>
            <w:r w:rsidR="001F4097">
              <w:rPr>
                <w:rFonts w:ascii="Franklin Gothic Book" w:hAnsi="Franklin Gothic Book"/>
                <w:color w:val="4F81BD" w:themeColor="accent1"/>
              </w:rPr>
              <w:t>submit a review that is compliant as designated by the criteria set forth by the academic deans and instructional review committee.</w:t>
            </w: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F84ECF">
      <w:pPr>
        <w:pStyle w:val="ListParagraph"/>
        <w:numPr>
          <w:ilvl w:val="0"/>
          <w:numId w:val="34"/>
        </w:numPr>
        <w:spacing w:after="0"/>
        <w:rPr>
          <w:rFonts w:ascii="Franklin Gothic Book" w:hAnsi="Franklin Gothic Book"/>
          <w:b/>
          <w:sz w:val="24"/>
          <w:szCs w:val="24"/>
        </w:rPr>
      </w:pPr>
      <w:r w:rsidRPr="00036995">
        <w:rPr>
          <w:rFonts w:ascii="Franklin Gothic Book" w:hAnsi="Franklin Gothic Book"/>
          <w:b/>
          <w:bCs/>
          <w:sz w:val="24"/>
          <w:szCs w:val="24"/>
        </w:rPr>
        <w:lastRenderedPageBreak/>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776EE4">
        <w:tc>
          <w:tcPr>
            <w:tcW w:w="8730" w:type="dxa"/>
          </w:tcPr>
          <w:p w:rsidR="00724A94" w:rsidRDefault="00F84ECF" w:rsidP="00F84ECF">
            <w:pPr>
              <w:rPr>
                <w:rFonts w:ascii="Franklin Gothic Book" w:hAnsi="Franklin Gothic Book"/>
                <w:color w:val="4F81BD" w:themeColor="accent1"/>
              </w:rPr>
            </w:pPr>
            <w:r w:rsidRPr="00F84ECF">
              <w:rPr>
                <w:rFonts w:ascii="Franklin Gothic Book" w:hAnsi="Franklin Gothic Book"/>
                <w:color w:val="4F81BD" w:themeColor="accent1"/>
              </w:rPr>
              <w:t xml:space="preserve">1. </w:t>
            </w:r>
            <w:r w:rsidRPr="00F84ECF">
              <w:rPr>
                <w:rFonts w:ascii="Franklin Gothic Book" w:hAnsi="Franklin Gothic Book"/>
                <w:color w:val="4F81BD" w:themeColor="accent1"/>
                <w:u w:val="single"/>
              </w:rPr>
              <w:t xml:space="preserve">Core Curriculum: </w:t>
            </w:r>
            <w:r w:rsidR="000B444F">
              <w:rPr>
                <w:rFonts w:ascii="Franklin Gothic Book" w:hAnsi="Franklin Gothic Book"/>
                <w:color w:val="4F81BD" w:themeColor="accent1"/>
              </w:rPr>
              <w:t xml:space="preserve">The benchmark was not met. </w:t>
            </w:r>
            <w:r w:rsidR="00724A94">
              <w:rPr>
                <w:rFonts w:ascii="Franklin Gothic Book" w:hAnsi="Franklin Gothic Book"/>
                <w:color w:val="4F81BD" w:themeColor="accent1"/>
              </w:rPr>
              <w:t xml:space="preserve">Out of 126 courses approved for the core, less than 50% of the courses met each expectation.  </w:t>
            </w:r>
          </w:p>
          <w:p w:rsidR="00F84ECF" w:rsidRPr="00F84ECF" w:rsidRDefault="00724A94" w:rsidP="00F84ECF">
            <w:pPr>
              <w:rPr>
                <w:rFonts w:ascii="Franklin Gothic Book" w:hAnsi="Franklin Gothic Book"/>
                <w:color w:val="4F81BD" w:themeColor="accent1"/>
                <w:u w:val="single"/>
              </w:rPr>
            </w:pPr>
            <w:r>
              <w:rPr>
                <w:noProof/>
              </w:rPr>
              <w:drawing>
                <wp:inline distT="0" distB="0" distL="0" distR="0" wp14:anchorId="7CA3E0DD" wp14:editId="23B76C53">
                  <wp:extent cx="3589020" cy="1794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7111" t="35827" r="34222" b="28346"/>
                          <a:stretch/>
                        </pic:blipFill>
                        <pic:spPr bwMode="auto">
                          <a:xfrm>
                            <a:off x="0" y="0"/>
                            <a:ext cx="3589020" cy="1794510"/>
                          </a:xfrm>
                          <a:prstGeom prst="rect">
                            <a:avLst/>
                          </a:prstGeom>
                          <a:ln>
                            <a:noFill/>
                          </a:ln>
                          <a:extLst>
                            <a:ext uri="{53640926-AAD7-44D8-BBD7-CCE9431645EC}">
                              <a14:shadowObscured xmlns:a14="http://schemas.microsoft.com/office/drawing/2010/main"/>
                            </a:ext>
                          </a:extLst>
                        </pic:spPr>
                      </pic:pic>
                    </a:graphicData>
                  </a:graphic>
                </wp:inline>
              </w:drawing>
            </w:r>
          </w:p>
          <w:p w:rsidR="00724A94" w:rsidRDefault="00724A94" w:rsidP="00F84ECF">
            <w:pPr>
              <w:rPr>
                <w:rFonts w:ascii="Franklin Gothic Book" w:hAnsi="Franklin Gothic Book"/>
                <w:color w:val="4F81BD" w:themeColor="accent1"/>
                <w:u w:val="single"/>
              </w:rPr>
            </w:pPr>
            <w:r>
              <w:rPr>
                <w:rFonts w:ascii="Franklin Gothic Book" w:hAnsi="Franklin Gothic Book"/>
                <w:color w:val="4F81BD" w:themeColor="accent1"/>
                <w:u w:val="single"/>
              </w:rPr>
              <w:t>Areas Meeting 80% Benchmark</w:t>
            </w:r>
            <w:r w:rsidR="00AF3067">
              <w:rPr>
                <w:rFonts w:ascii="Franklin Gothic Book" w:hAnsi="Franklin Gothic Book"/>
                <w:color w:val="4F81BD" w:themeColor="accent1"/>
                <w:u w:val="single"/>
              </w:rPr>
              <w:t xml:space="preserve"> in Most Areas</w:t>
            </w:r>
            <w:r>
              <w:rPr>
                <w:rFonts w:ascii="Franklin Gothic Book" w:hAnsi="Franklin Gothic Book"/>
                <w:color w:val="4F81BD" w:themeColor="accent1"/>
                <w:u w:val="single"/>
              </w:rPr>
              <w:t>:</w:t>
            </w:r>
          </w:p>
          <w:p w:rsidR="00AF3067" w:rsidRDefault="00724A94" w:rsidP="00AF3067">
            <w:pPr>
              <w:pStyle w:val="ListParagraph"/>
              <w:numPr>
                <w:ilvl w:val="0"/>
                <w:numId w:val="39"/>
              </w:numPr>
              <w:rPr>
                <w:rFonts w:ascii="Franklin Gothic Book" w:hAnsi="Franklin Gothic Book"/>
                <w:color w:val="4F81BD" w:themeColor="accent1"/>
              </w:rPr>
            </w:pPr>
            <w:r w:rsidRPr="00AF3067">
              <w:rPr>
                <w:rFonts w:ascii="Franklin Gothic Book" w:hAnsi="Franklin Gothic Book"/>
                <w:color w:val="4F81BD" w:themeColor="accent1"/>
              </w:rPr>
              <w:t>Core 10</w:t>
            </w:r>
            <w:r w:rsidR="00AF3067" w:rsidRPr="00AF3067">
              <w:rPr>
                <w:rFonts w:ascii="Franklin Gothic Book" w:hAnsi="Franklin Gothic Book"/>
                <w:color w:val="4F81BD" w:themeColor="accent1"/>
              </w:rPr>
              <w:t xml:space="preserve"> (3 courses)</w:t>
            </w:r>
            <w:r w:rsidRPr="00AF3067">
              <w:rPr>
                <w:rFonts w:ascii="Franklin Gothic Book" w:hAnsi="Franklin Gothic Book"/>
                <w:color w:val="4F81BD" w:themeColor="accent1"/>
              </w:rPr>
              <w:t xml:space="preserve">: Communication – 100% </w:t>
            </w:r>
            <w:r w:rsidR="00AF3067" w:rsidRPr="00AF3067">
              <w:rPr>
                <w:rFonts w:ascii="Franklin Gothic Book" w:hAnsi="Franklin Gothic Book"/>
                <w:color w:val="4F81BD" w:themeColor="accent1"/>
              </w:rPr>
              <w:t>met in a</w:t>
            </w:r>
            <w:r w:rsidRPr="00AF3067">
              <w:rPr>
                <w:rFonts w:ascii="Franklin Gothic Book" w:hAnsi="Franklin Gothic Book"/>
                <w:color w:val="4F81BD" w:themeColor="accent1"/>
              </w:rPr>
              <w:t>ll areas</w:t>
            </w:r>
          </w:p>
          <w:p w:rsidR="00724A94" w:rsidRPr="00AF3067" w:rsidRDefault="00AF3067" w:rsidP="00AF3067">
            <w:pPr>
              <w:pStyle w:val="ListParagraph"/>
              <w:numPr>
                <w:ilvl w:val="0"/>
                <w:numId w:val="39"/>
              </w:numPr>
              <w:rPr>
                <w:rFonts w:ascii="Franklin Gothic Book" w:hAnsi="Franklin Gothic Book"/>
                <w:color w:val="4F81BD" w:themeColor="accent1"/>
              </w:rPr>
            </w:pPr>
            <w:r w:rsidRPr="00AF3067">
              <w:rPr>
                <w:rFonts w:ascii="Franklin Gothic Book" w:hAnsi="Franklin Gothic Book"/>
                <w:color w:val="4F81BD" w:themeColor="accent1"/>
              </w:rPr>
              <w:t>Core 50 (17 courses): Creative Arts – 88% met in most areas; only area below at 65% met is analysis/action plan</w:t>
            </w:r>
          </w:p>
          <w:p w:rsidR="00AF3067" w:rsidRPr="00AF3067" w:rsidRDefault="00AF3067" w:rsidP="00AF3067">
            <w:pPr>
              <w:pStyle w:val="ListParagraph"/>
              <w:numPr>
                <w:ilvl w:val="0"/>
                <w:numId w:val="39"/>
              </w:numPr>
              <w:rPr>
                <w:rFonts w:ascii="Franklin Gothic Book" w:hAnsi="Franklin Gothic Book"/>
                <w:color w:val="4F81BD" w:themeColor="accent1"/>
              </w:rPr>
            </w:pPr>
            <w:r w:rsidRPr="00AF3067">
              <w:rPr>
                <w:rFonts w:ascii="Franklin Gothic Book" w:hAnsi="Franklin Gothic Book"/>
                <w:color w:val="4F81BD" w:themeColor="accent1"/>
              </w:rPr>
              <w:t>Core 60 (2 courses): American History – 100% met in all areas</w:t>
            </w:r>
          </w:p>
          <w:p w:rsidR="00AF3067" w:rsidRPr="00AF3067" w:rsidRDefault="00AF3067" w:rsidP="00AF3067">
            <w:pPr>
              <w:pStyle w:val="ListParagraph"/>
              <w:numPr>
                <w:ilvl w:val="0"/>
                <w:numId w:val="39"/>
              </w:numPr>
              <w:rPr>
                <w:rFonts w:ascii="Franklin Gothic Book" w:hAnsi="Franklin Gothic Book"/>
                <w:color w:val="4F81BD" w:themeColor="accent1"/>
              </w:rPr>
            </w:pPr>
            <w:r w:rsidRPr="00AF3067">
              <w:rPr>
                <w:rFonts w:ascii="Franklin Gothic Book" w:hAnsi="Franklin Gothic Book"/>
                <w:color w:val="4F81BD" w:themeColor="accent1"/>
              </w:rPr>
              <w:t>Core 70 (2 courses): Political Science/Government – 100% met in all areas</w:t>
            </w:r>
          </w:p>
          <w:p w:rsidR="00AF3067" w:rsidRPr="00AF3067" w:rsidRDefault="00AF3067" w:rsidP="00AF3067">
            <w:pPr>
              <w:pStyle w:val="ListParagraph"/>
              <w:numPr>
                <w:ilvl w:val="0"/>
                <w:numId w:val="39"/>
              </w:numPr>
              <w:rPr>
                <w:rFonts w:ascii="Franklin Gothic Book" w:hAnsi="Franklin Gothic Book"/>
                <w:color w:val="4F81BD" w:themeColor="accent1"/>
              </w:rPr>
            </w:pPr>
            <w:r w:rsidRPr="00AF3067">
              <w:rPr>
                <w:rFonts w:ascii="Franklin Gothic Book" w:hAnsi="Franklin Gothic Book"/>
                <w:color w:val="4F81BD" w:themeColor="accent1"/>
              </w:rPr>
              <w:t>Core 80 (19 courses): Social and Behavioral Sciences – 84% met in all areas</w:t>
            </w:r>
          </w:p>
          <w:p w:rsidR="00724A94" w:rsidRDefault="00724A94" w:rsidP="00F84ECF">
            <w:pPr>
              <w:rPr>
                <w:rFonts w:ascii="Franklin Gothic Book" w:hAnsi="Franklin Gothic Book"/>
                <w:color w:val="4F81BD" w:themeColor="accent1"/>
              </w:rPr>
            </w:pPr>
          </w:p>
          <w:p w:rsidR="00724A94" w:rsidRDefault="00724A94" w:rsidP="00F84ECF">
            <w:pPr>
              <w:rPr>
                <w:rFonts w:ascii="Franklin Gothic Book" w:hAnsi="Franklin Gothic Book"/>
                <w:color w:val="4F81BD" w:themeColor="accent1"/>
                <w:u w:val="single"/>
              </w:rPr>
            </w:pPr>
            <w:r w:rsidRPr="00724A94">
              <w:rPr>
                <w:rFonts w:ascii="Franklin Gothic Book" w:hAnsi="Franklin Gothic Book"/>
                <w:color w:val="4F81BD" w:themeColor="accent1"/>
                <w:u w:val="single"/>
              </w:rPr>
              <w:t>Areas Not Meeting 80% Benchmark</w:t>
            </w:r>
            <w:r w:rsidR="00AF3067">
              <w:rPr>
                <w:rFonts w:ascii="Franklin Gothic Book" w:hAnsi="Franklin Gothic Book"/>
                <w:color w:val="4F81BD" w:themeColor="accent1"/>
                <w:u w:val="single"/>
              </w:rPr>
              <w:t xml:space="preserve"> in Most Areas</w:t>
            </w:r>
            <w:r w:rsidRPr="00724A94">
              <w:rPr>
                <w:rFonts w:ascii="Franklin Gothic Book" w:hAnsi="Franklin Gothic Book"/>
                <w:color w:val="4F81BD" w:themeColor="accent1"/>
                <w:u w:val="single"/>
              </w:rPr>
              <w:t>:</w:t>
            </w:r>
          </w:p>
          <w:p w:rsidR="00724A94" w:rsidRPr="00AF3067" w:rsidRDefault="00724A94" w:rsidP="00AF3067">
            <w:pPr>
              <w:pStyle w:val="ListParagraph"/>
              <w:numPr>
                <w:ilvl w:val="0"/>
                <w:numId w:val="40"/>
              </w:numPr>
              <w:rPr>
                <w:rFonts w:ascii="Franklin Gothic Book" w:hAnsi="Franklin Gothic Book"/>
                <w:color w:val="4F81BD" w:themeColor="accent1"/>
              </w:rPr>
            </w:pPr>
            <w:r w:rsidRPr="00AF3067">
              <w:rPr>
                <w:rFonts w:ascii="Franklin Gothic Book" w:hAnsi="Franklin Gothic Book"/>
                <w:color w:val="4F81BD" w:themeColor="accent1"/>
              </w:rPr>
              <w:t>Core 20</w:t>
            </w:r>
            <w:r w:rsidR="00AF3067" w:rsidRPr="00AF3067">
              <w:rPr>
                <w:rFonts w:ascii="Franklin Gothic Book" w:hAnsi="Franklin Gothic Book"/>
                <w:color w:val="4F81BD" w:themeColor="accent1"/>
              </w:rPr>
              <w:t xml:space="preserve"> (9 courses)</w:t>
            </w:r>
            <w:r w:rsidRPr="00AF3067">
              <w:rPr>
                <w:rFonts w:ascii="Franklin Gothic Book" w:hAnsi="Franklin Gothic Book"/>
                <w:color w:val="4F81BD" w:themeColor="accent1"/>
              </w:rPr>
              <w:t>: Mathematics – 0% All areas (</w:t>
            </w:r>
            <w:r w:rsidR="00AF3067">
              <w:rPr>
                <w:rFonts w:ascii="Franklin Gothic Book" w:hAnsi="Franklin Gothic Book"/>
                <w:color w:val="4F81BD" w:themeColor="accent1"/>
              </w:rPr>
              <w:t>D</w:t>
            </w:r>
            <w:r w:rsidRPr="00AF3067">
              <w:rPr>
                <w:rFonts w:ascii="Franklin Gothic Book" w:hAnsi="Franklin Gothic Book"/>
                <w:color w:val="4F81BD" w:themeColor="accent1"/>
              </w:rPr>
              <w:t>id not submit)</w:t>
            </w:r>
          </w:p>
          <w:p w:rsidR="00AF3067" w:rsidRDefault="00724A94" w:rsidP="00AF3067">
            <w:pPr>
              <w:pStyle w:val="ListParagraph"/>
              <w:numPr>
                <w:ilvl w:val="0"/>
                <w:numId w:val="40"/>
              </w:numPr>
              <w:rPr>
                <w:rFonts w:ascii="Franklin Gothic Book" w:hAnsi="Franklin Gothic Book"/>
                <w:color w:val="4F81BD" w:themeColor="accent1"/>
              </w:rPr>
            </w:pPr>
            <w:r w:rsidRPr="00AF3067">
              <w:rPr>
                <w:rFonts w:ascii="Franklin Gothic Book" w:hAnsi="Franklin Gothic Book"/>
                <w:color w:val="4F81BD" w:themeColor="accent1"/>
              </w:rPr>
              <w:t>Core 30</w:t>
            </w:r>
            <w:r w:rsidR="00AF3067" w:rsidRPr="00AF3067">
              <w:rPr>
                <w:rFonts w:ascii="Franklin Gothic Book" w:hAnsi="Franklin Gothic Book"/>
                <w:color w:val="4F81BD" w:themeColor="accent1"/>
              </w:rPr>
              <w:t xml:space="preserve"> (36 courses)</w:t>
            </w:r>
            <w:r w:rsidRPr="00AF3067">
              <w:rPr>
                <w:rFonts w:ascii="Franklin Gothic Book" w:hAnsi="Franklin Gothic Book"/>
                <w:color w:val="4F81BD" w:themeColor="accent1"/>
              </w:rPr>
              <w:t>: Life &amp; Physical Sciences – 14-19% (Most did not submit)</w:t>
            </w:r>
          </w:p>
          <w:p w:rsidR="00724A94" w:rsidRPr="00AF3067" w:rsidRDefault="00AF3067" w:rsidP="00AF3067">
            <w:pPr>
              <w:pStyle w:val="ListParagraph"/>
              <w:numPr>
                <w:ilvl w:val="0"/>
                <w:numId w:val="40"/>
              </w:numPr>
              <w:rPr>
                <w:rFonts w:ascii="Franklin Gothic Book" w:hAnsi="Franklin Gothic Book"/>
                <w:color w:val="4F81BD" w:themeColor="accent1"/>
              </w:rPr>
            </w:pPr>
            <w:r w:rsidRPr="00AF3067">
              <w:rPr>
                <w:rFonts w:ascii="Franklin Gothic Book" w:hAnsi="Franklin Gothic Book"/>
                <w:color w:val="4F81BD" w:themeColor="accent1"/>
              </w:rPr>
              <w:t>Core 40 (23 courses): Language, Philosophy, &amp; Culture – 52-57% (Many did not submit)</w:t>
            </w:r>
          </w:p>
          <w:p w:rsidR="00AF3067" w:rsidRPr="00AF3067" w:rsidRDefault="00AF3067" w:rsidP="00AF3067">
            <w:pPr>
              <w:pStyle w:val="ListParagraph"/>
              <w:numPr>
                <w:ilvl w:val="0"/>
                <w:numId w:val="40"/>
              </w:numPr>
              <w:rPr>
                <w:rFonts w:ascii="Franklin Gothic Book" w:hAnsi="Franklin Gothic Book"/>
                <w:color w:val="4F81BD" w:themeColor="accent1"/>
              </w:rPr>
            </w:pPr>
            <w:r w:rsidRPr="00AF3067">
              <w:rPr>
                <w:rFonts w:ascii="Franklin Gothic Book" w:hAnsi="Franklin Gothic Book"/>
                <w:color w:val="4F81BD" w:themeColor="accent1"/>
              </w:rPr>
              <w:t>Core 90 (15 courses): Institutional Option – 20% Met (FYS and Speech met; all labs did not submit)</w:t>
            </w:r>
          </w:p>
          <w:p w:rsidR="00724A94" w:rsidRDefault="00724A94" w:rsidP="00F84ECF">
            <w:pPr>
              <w:rPr>
                <w:rFonts w:ascii="Franklin Gothic Book" w:hAnsi="Franklin Gothic Book"/>
                <w:color w:val="4F81BD" w:themeColor="accent1"/>
              </w:rPr>
            </w:pPr>
          </w:p>
          <w:p w:rsidR="00FB7CCB" w:rsidRDefault="00FB7CCB" w:rsidP="00724A94">
            <w:pPr>
              <w:rPr>
                <w:rFonts w:ascii="Franklin Gothic Book" w:hAnsi="Franklin Gothic Book"/>
                <w:color w:val="4F81BD" w:themeColor="accent1"/>
              </w:rPr>
            </w:pPr>
            <w:r>
              <w:rPr>
                <w:rFonts w:ascii="Franklin Gothic Book" w:hAnsi="Franklin Gothic Book"/>
                <w:color w:val="4F81BD" w:themeColor="accent1"/>
              </w:rPr>
              <w:t xml:space="preserve">There is room for improvement in most foundational areas, but STEM appears </w:t>
            </w:r>
            <w:r w:rsidR="0037171B">
              <w:rPr>
                <w:rFonts w:ascii="Franklin Gothic Book" w:hAnsi="Franklin Gothic Book"/>
                <w:color w:val="4F81BD" w:themeColor="accent1"/>
              </w:rPr>
              <w:t>to need the most assistance in this area.</w:t>
            </w:r>
          </w:p>
          <w:p w:rsidR="00FB7CCB" w:rsidRDefault="00FB7CCB" w:rsidP="00724A94">
            <w:pPr>
              <w:rPr>
                <w:rFonts w:ascii="Franklin Gothic Book" w:hAnsi="Franklin Gothic Book"/>
                <w:color w:val="4F81BD" w:themeColor="accent1"/>
              </w:rPr>
            </w:pPr>
          </w:p>
          <w:p w:rsidR="00724A94" w:rsidRPr="00724A94" w:rsidRDefault="00724A94" w:rsidP="00724A94">
            <w:pPr>
              <w:rPr>
                <w:rFonts w:ascii="Franklin Gothic Book" w:hAnsi="Franklin Gothic Book"/>
                <w:color w:val="4F81BD" w:themeColor="accent1"/>
              </w:rPr>
            </w:pPr>
            <w:r>
              <w:rPr>
                <w:rFonts w:ascii="Franklin Gothic Book" w:hAnsi="Franklin Gothic Book"/>
                <w:color w:val="4F81BD" w:themeColor="accent1"/>
              </w:rPr>
              <w:t xml:space="preserve">I think the issue is two-fold one is that despite the multi-year planning for how courses would meet the </w:t>
            </w:r>
            <w:hyperlink r:id="rId16" w:history="1">
              <w:r w:rsidRPr="00724A94">
                <w:rPr>
                  <w:rStyle w:val="Hyperlink"/>
                  <w:rFonts w:ascii="Franklin Gothic Book" w:hAnsi="Franklin Gothic Book"/>
                </w:rPr>
                <w:t>core curriculum requirements</w:t>
              </w:r>
            </w:hyperlink>
            <w:r>
              <w:rPr>
                <w:rFonts w:ascii="Franklin Gothic Book" w:hAnsi="Franklin Gothic Book"/>
                <w:color w:val="4F81BD" w:themeColor="accent1"/>
              </w:rPr>
              <w:t xml:space="preserve"> and </w:t>
            </w:r>
            <w:hyperlink r:id="rId17" w:history="1">
              <w:r w:rsidRPr="00724A94">
                <w:rPr>
                  <w:rStyle w:val="Hyperlink"/>
                  <w:rFonts w:ascii="Franklin Gothic Book" w:hAnsi="Franklin Gothic Book"/>
                </w:rPr>
                <w:t>the evaluation</w:t>
              </w:r>
            </w:hyperlink>
            <w:r>
              <w:rPr>
                <w:rFonts w:ascii="Franklin Gothic Book" w:hAnsi="Franklin Gothic Book"/>
                <w:color w:val="4F81BD" w:themeColor="accent1"/>
              </w:rPr>
              <w:t xml:space="preserve"> ensuring their assignment/assessment plan was in alignment with THECB objectives, many of the courses were still not prepare for the actual collection, management, and reporting of all this data. On the flip side, </w:t>
            </w:r>
            <w:r w:rsidR="00AF3067">
              <w:rPr>
                <w:rFonts w:ascii="Franklin Gothic Book" w:hAnsi="Franklin Gothic Book"/>
                <w:color w:val="4F81BD" w:themeColor="accent1"/>
              </w:rPr>
              <w:t>these are also a lot of courses for IE to manage with any kind of software system so more time was spent one-on-one with trainings requested by others than by seeking out training opportunities with those who did not submit.</w:t>
            </w:r>
          </w:p>
          <w:p w:rsidR="00724A94" w:rsidRDefault="00724A94" w:rsidP="00F84ECF">
            <w:pPr>
              <w:rPr>
                <w:rFonts w:ascii="Franklin Gothic Book" w:hAnsi="Franklin Gothic Book"/>
                <w:color w:val="4F81BD" w:themeColor="accent1"/>
              </w:rPr>
            </w:pPr>
          </w:p>
          <w:p w:rsidR="00F84ECF" w:rsidRPr="000B444F" w:rsidRDefault="00F84ECF" w:rsidP="00F84ECF">
            <w:pPr>
              <w:rPr>
                <w:rFonts w:ascii="Franklin Gothic Book" w:hAnsi="Franklin Gothic Book"/>
                <w:color w:val="4F81BD" w:themeColor="accent1"/>
              </w:rPr>
            </w:pPr>
            <w:r w:rsidRPr="00F84ECF">
              <w:rPr>
                <w:rFonts w:ascii="Franklin Gothic Book" w:hAnsi="Franklin Gothic Book"/>
                <w:color w:val="4F81BD" w:themeColor="accent1"/>
              </w:rPr>
              <w:t>2.</w:t>
            </w:r>
            <w:r w:rsidRPr="00F84ECF">
              <w:rPr>
                <w:rFonts w:ascii="Franklin Gothic Book" w:hAnsi="Franklin Gothic Book"/>
                <w:color w:val="4F81BD" w:themeColor="accent1"/>
                <w:u w:val="single"/>
              </w:rPr>
              <w:t xml:space="preserve"> Instructional Assessment:</w:t>
            </w:r>
            <w:r w:rsidR="000B444F">
              <w:rPr>
                <w:rFonts w:ascii="Franklin Gothic Book" w:hAnsi="Franklin Gothic Book"/>
                <w:color w:val="4F81BD" w:themeColor="accent1"/>
              </w:rPr>
              <w:t xml:space="preserve"> The benchmark was not met. Out of 56 areas that were requested to submit forms</w:t>
            </w:r>
            <w:r w:rsidR="00E45C4F">
              <w:rPr>
                <w:rFonts w:ascii="Franklin Gothic Book" w:hAnsi="Franklin Gothic Book"/>
                <w:color w:val="4F81BD" w:themeColor="accent1"/>
              </w:rPr>
              <w:t xml:space="preserve">, only between 64-77% met the expectations. </w:t>
            </w:r>
          </w:p>
          <w:p w:rsidR="00E45C4F" w:rsidRDefault="00E45C4F" w:rsidP="00F84ECF">
            <w:pPr>
              <w:rPr>
                <w:noProof/>
              </w:rPr>
            </w:pPr>
          </w:p>
          <w:p w:rsidR="00F84ECF" w:rsidRDefault="00E45C4F" w:rsidP="00F84ECF">
            <w:pPr>
              <w:rPr>
                <w:rFonts w:ascii="Franklin Gothic Book" w:hAnsi="Franklin Gothic Book"/>
                <w:color w:val="4F81BD" w:themeColor="accent1"/>
              </w:rPr>
            </w:pPr>
            <w:r>
              <w:rPr>
                <w:noProof/>
              </w:rPr>
              <w:lastRenderedPageBreak/>
              <w:drawing>
                <wp:inline distT="0" distB="0" distL="0" distR="0" wp14:anchorId="6D2B050B" wp14:editId="0A7BD32B">
                  <wp:extent cx="3919859" cy="16383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7333" t="38502" r="29333" b="27935"/>
                          <a:stretch/>
                        </pic:blipFill>
                        <pic:spPr bwMode="auto">
                          <a:xfrm>
                            <a:off x="0" y="0"/>
                            <a:ext cx="3926755" cy="1641182"/>
                          </a:xfrm>
                          <a:prstGeom prst="rect">
                            <a:avLst/>
                          </a:prstGeom>
                          <a:ln>
                            <a:noFill/>
                          </a:ln>
                          <a:extLst>
                            <a:ext uri="{53640926-AAD7-44D8-BBD7-CCE9431645EC}">
                              <a14:shadowObscured xmlns:a14="http://schemas.microsoft.com/office/drawing/2010/main"/>
                            </a:ext>
                          </a:extLst>
                        </pic:spPr>
                      </pic:pic>
                    </a:graphicData>
                  </a:graphic>
                </wp:inline>
              </w:drawing>
            </w:r>
          </w:p>
          <w:p w:rsidR="00ED0F92" w:rsidRDefault="00ED0F92" w:rsidP="00ED0F92">
            <w:pPr>
              <w:rPr>
                <w:rFonts w:ascii="Franklin Gothic Book" w:hAnsi="Franklin Gothic Book"/>
                <w:color w:val="4F81BD" w:themeColor="accent1"/>
                <w:u w:val="single"/>
              </w:rPr>
            </w:pPr>
            <w:r>
              <w:rPr>
                <w:rFonts w:ascii="Franklin Gothic Book" w:hAnsi="Franklin Gothic Book"/>
                <w:color w:val="4F81BD" w:themeColor="accent1"/>
                <w:u w:val="single"/>
              </w:rPr>
              <w:t>Areas Meeting 80% Benchmark in Most Areas:</w:t>
            </w:r>
          </w:p>
          <w:p w:rsidR="00ED0F92" w:rsidRDefault="00ED0F92" w:rsidP="00ED0F92">
            <w:pPr>
              <w:pStyle w:val="ListParagraph"/>
              <w:numPr>
                <w:ilvl w:val="0"/>
                <w:numId w:val="41"/>
              </w:numPr>
              <w:rPr>
                <w:rFonts w:ascii="Franklin Gothic Book" w:hAnsi="Franklin Gothic Book"/>
                <w:color w:val="4F81BD" w:themeColor="accent1"/>
              </w:rPr>
            </w:pPr>
            <w:r w:rsidRPr="00ED0F92">
              <w:rPr>
                <w:rFonts w:ascii="Franklin Gothic Book" w:hAnsi="Franklin Gothic Book"/>
                <w:color w:val="4F81BD" w:themeColor="accent1"/>
              </w:rPr>
              <w:t>Academic Success (4 Areas) – 75%-100% Met All Expectations</w:t>
            </w:r>
          </w:p>
          <w:p w:rsidR="00ED0F92" w:rsidRDefault="00ED0F92" w:rsidP="00ED0F92">
            <w:pPr>
              <w:pStyle w:val="ListParagraph"/>
              <w:numPr>
                <w:ilvl w:val="0"/>
                <w:numId w:val="41"/>
              </w:numPr>
              <w:rPr>
                <w:rFonts w:ascii="Franklin Gothic Book" w:hAnsi="Franklin Gothic Book"/>
                <w:color w:val="4F81BD" w:themeColor="accent1"/>
              </w:rPr>
            </w:pPr>
            <w:r>
              <w:rPr>
                <w:rFonts w:ascii="Franklin Gothic Book" w:hAnsi="Franklin Gothic Book"/>
                <w:color w:val="4F81BD" w:themeColor="accent1"/>
              </w:rPr>
              <w:t>Health Sciences (15 Areas) – 80%-100% Met All Expectations</w:t>
            </w:r>
          </w:p>
          <w:p w:rsidR="00ED0F92" w:rsidRDefault="00ED0F92" w:rsidP="00ED0F92">
            <w:pPr>
              <w:pStyle w:val="ListParagraph"/>
              <w:numPr>
                <w:ilvl w:val="0"/>
                <w:numId w:val="41"/>
              </w:numPr>
              <w:rPr>
                <w:rFonts w:ascii="Franklin Gothic Book" w:hAnsi="Franklin Gothic Book"/>
                <w:color w:val="4F81BD" w:themeColor="accent1"/>
              </w:rPr>
            </w:pPr>
            <w:r>
              <w:rPr>
                <w:rFonts w:ascii="Franklin Gothic Book" w:hAnsi="Franklin Gothic Book"/>
                <w:color w:val="4F81BD" w:themeColor="accent1"/>
              </w:rPr>
              <w:t>Liberal Arts (16 Areas) – 81% Submitted and Provided Outcome Data; only 75% had improvement plan</w:t>
            </w:r>
          </w:p>
          <w:p w:rsidR="00ED0F92" w:rsidRPr="00ED0F92" w:rsidRDefault="00ED0F92" w:rsidP="00ED0F92">
            <w:pPr>
              <w:pStyle w:val="ListParagraph"/>
              <w:numPr>
                <w:ilvl w:val="0"/>
                <w:numId w:val="41"/>
              </w:numPr>
              <w:rPr>
                <w:rFonts w:ascii="Franklin Gothic Book" w:hAnsi="Franklin Gothic Book"/>
                <w:color w:val="4F81BD" w:themeColor="accent1"/>
              </w:rPr>
            </w:pPr>
            <w:r>
              <w:rPr>
                <w:rFonts w:ascii="Franklin Gothic Book" w:hAnsi="Franklin Gothic Book"/>
                <w:color w:val="4F81BD" w:themeColor="accent1"/>
              </w:rPr>
              <w:t>Nursing (2 Areas) – 100% Met All Expectations</w:t>
            </w:r>
          </w:p>
          <w:p w:rsidR="00ED0F92" w:rsidRDefault="00ED0F92" w:rsidP="00F84ECF">
            <w:pPr>
              <w:rPr>
                <w:rFonts w:ascii="Franklin Gothic Book" w:hAnsi="Franklin Gothic Book"/>
                <w:color w:val="4F81BD" w:themeColor="accent1"/>
              </w:rPr>
            </w:pPr>
          </w:p>
          <w:p w:rsidR="00ED0F92" w:rsidRDefault="00ED0F92" w:rsidP="00ED0F92">
            <w:pPr>
              <w:rPr>
                <w:rFonts w:ascii="Franklin Gothic Book" w:hAnsi="Franklin Gothic Book"/>
                <w:color w:val="4F81BD" w:themeColor="accent1"/>
                <w:u w:val="single"/>
              </w:rPr>
            </w:pPr>
            <w:r>
              <w:rPr>
                <w:rFonts w:ascii="Franklin Gothic Book" w:hAnsi="Franklin Gothic Book"/>
                <w:color w:val="4F81BD" w:themeColor="accent1"/>
                <w:u w:val="single"/>
              </w:rPr>
              <w:t>Areas Not Meeting 80% Benchmark in Most Areas:</w:t>
            </w:r>
          </w:p>
          <w:p w:rsidR="00ED0F92" w:rsidRPr="00ED0F92" w:rsidRDefault="00ED0F92" w:rsidP="00ED0F92">
            <w:pPr>
              <w:pStyle w:val="ListParagraph"/>
              <w:numPr>
                <w:ilvl w:val="0"/>
                <w:numId w:val="42"/>
              </w:numPr>
              <w:rPr>
                <w:rFonts w:ascii="Franklin Gothic Book" w:hAnsi="Franklin Gothic Book"/>
                <w:color w:val="4F81BD" w:themeColor="accent1"/>
                <w:u w:val="single"/>
              </w:rPr>
            </w:pPr>
            <w:r>
              <w:rPr>
                <w:rFonts w:ascii="Franklin Gothic Book" w:hAnsi="Franklin Gothic Book"/>
                <w:color w:val="4F81BD" w:themeColor="accent1"/>
              </w:rPr>
              <w:t>STEM (11 Areas) – 45% Met All Expectations (Note: Many Did Not Submit)</w:t>
            </w:r>
          </w:p>
          <w:p w:rsidR="00ED0F92" w:rsidRPr="00ED0F92" w:rsidRDefault="00ED0F92" w:rsidP="00ED0F92">
            <w:pPr>
              <w:pStyle w:val="ListParagraph"/>
              <w:numPr>
                <w:ilvl w:val="0"/>
                <w:numId w:val="42"/>
              </w:numPr>
              <w:rPr>
                <w:rFonts w:ascii="Franklin Gothic Book" w:hAnsi="Franklin Gothic Book"/>
                <w:color w:val="4F81BD" w:themeColor="accent1"/>
                <w:u w:val="single"/>
              </w:rPr>
            </w:pPr>
            <w:r>
              <w:rPr>
                <w:rFonts w:ascii="Franklin Gothic Book" w:hAnsi="Franklin Gothic Book"/>
                <w:color w:val="4F81BD" w:themeColor="accent1"/>
              </w:rPr>
              <w:t>Technical Education (8 Areas) – 24% - 50% of All Expectations Met (Note: Many Did Not Submit)</w:t>
            </w:r>
          </w:p>
          <w:p w:rsidR="00ED0F92" w:rsidRDefault="00ED0F92" w:rsidP="00ED0F92">
            <w:pPr>
              <w:rPr>
                <w:rFonts w:ascii="Franklin Gothic Book" w:hAnsi="Franklin Gothic Book"/>
                <w:color w:val="4F81BD" w:themeColor="accent1"/>
                <w:u w:val="single"/>
              </w:rPr>
            </w:pPr>
          </w:p>
          <w:p w:rsidR="00ED0F92" w:rsidRPr="00ED0F92" w:rsidRDefault="00ED0F92" w:rsidP="00ED0F92">
            <w:pPr>
              <w:rPr>
                <w:rFonts w:ascii="Franklin Gothic Book" w:hAnsi="Franklin Gothic Book"/>
                <w:color w:val="4F81BD" w:themeColor="accent1"/>
              </w:rPr>
            </w:pPr>
            <w:r>
              <w:rPr>
                <w:rFonts w:ascii="Franklin Gothic Book" w:hAnsi="Franklin Gothic Book"/>
                <w:color w:val="4F81BD" w:themeColor="accent1"/>
              </w:rPr>
              <w:t>STEM and Technical Education need the most assistance in this area.</w:t>
            </w:r>
          </w:p>
          <w:p w:rsidR="00ED0F92" w:rsidRPr="00ED0F92" w:rsidRDefault="00ED0F92" w:rsidP="00F84ECF">
            <w:pPr>
              <w:rPr>
                <w:rFonts w:ascii="Franklin Gothic Book" w:hAnsi="Franklin Gothic Book"/>
                <w:b/>
                <w:color w:val="4F81BD" w:themeColor="accent1"/>
              </w:rPr>
            </w:pPr>
          </w:p>
          <w:p w:rsidR="00E45C4F" w:rsidRDefault="00E45C4F" w:rsidP="00F84ECF">
            <w:pPr>
              <w:rPr>
                <w:rFonts w:ascii="Franklin Gothic Book" w:hAnsi="Franklin Gothic Book"/>
                <w:color w:val="4F81BD" w:themeColor="accent1"/>
              </w:rPr>
            </w:pPr>
            <w:r>
              <w:rPr>
                <w:rFonts w:ascii="Franklin Gothic Book" w:hAnsi="Franklin Gothic Book"/>
                <w:color w:val="4F81BD" w:themeColor="accent1"/>
              </w:rPr>
              <w:t xml:space="preserve">Just like with the non-instructional review during the 2013-2014 year, the primary focus for instructional areas this 2014-2015 year was on forming outcomes, providing results/analysis to evaluate outcome, and then forming improvement plans based off the results. What instructional programs were asked to do was in truth not much different than what they’ve been asked to do in previous years with </w:t>
            </w:r>
            <w:hyperlink r:id="rId19" w:history="1">
              <w:r w:rsidRPr="00E45C4F">
                <w:rPr>
                  <w:rStyle w:val="Hyperlink"/>
                  <w:rFonts w:ascii="Franklin Gothic Book" w:hAnsi="Franklin Gothic Book"/>
                </w:rPr>
                <w:t>PET forms</w:t>
              </w:r>
            </w:hyperlink>
            <w:r>
              <w:rPr>
                <w:rFonts w:ascii="Franklin Gothic Book" w:hAnsi="Franklin Gothic Book"/>
                <w:color w:val="4F81BD" w:themeColor="accent1"/>
              </w:rPr>
              <w:t xml:space="preserve">. </w:t>
            </w:r>
          </w:p>
          <w:p w:rsidR="00E45C4F" w:rsidRDefault="00E45C4F" w:rsidP="00F84ECF">
            <w:pPr>
              <w:rPr>
                <w:rFonts w:ascii="Franklin Gothic Book" w:hAnsi="Franklin Gothic Book"/>
                <w:color w:val="4F81BD" w:themeColor="accent1"/>
              </w:rPr>
            </w:pPr>
          </w:p>
          <w:p w:rsidR="00E45C4F" w:rsidRDefault="00ED0F92" w:rsidP="00F84ECF">
            <w:pPr>
              <w:rPr>
                <w:rFonts w:ascii="Franklin Gothic Book" w:hAnsi="Franklin Gothic Book"/>
                <w:color w:val="4F81BD" w:themeColor="accent1"/>
              </w:rPr>
            </w:pPr>
            <w:r>
              <w:rPr>
                <w:rFonts w:ascii="Franklin Gothic Book" w:hAnsi="Franklin Gothic Book"/>
                <w:color w:val="4F81BD" w:themeColor="accent1"/>
              </w:rPr>
              <w:t>Any</w:t>
            </w:r>
            <w:r w:rsidR="00E45C4F">
              <w:rPr>
                <w:rFonts w:ascii="Franklin Gothic Book" w:hAnsi="Franklin Gothic Book"/>
                <w:color w:val="4F81BD" w:themeColor="accent1"/>
              </w:rPr>
              <w:t xml:space="preserve"> time you move to a new form and/or have other new initiatives going on at the same time (e.g. the core curriculum implementation/assessment), it’s easy to see how </w:t>
            </w:r>
            <w:r>
              <w:rPr>
                <w:rFonts w:ascii="Franklin Gothic Book" w:hAnsi="Franklin Gothic Book"/>
                <w:color w:val="4F81BD" w:themeColor="accent1"/>
              </w:rPr>
              <w:t>programs may become overwhelmed.</w:t>
            </w:r>
          </w:p>
          <w:p w:rsidR="00E45C4F" w:rsidRDefault="00E45C4F" w:rsidP="00F84ECF">
            <w:pPr>
              <w:rPr>
                <w:rFonts w:ascii="Franklin Gothic Book" w:hAnsi="Franklin Gothic Book"/>
                <w:color w:val="4F81BD" w:themeColor="accent1"/>
              </w:rPr>
            </w:pPr>
          </w:p>
          <w:p w:rsidR="008F43B9" w:rsidRPr="00F84ECF" w:rsidRDefault="008F43B9" w:rsidP="00F84ECF">
            <w:pPr>
              <w:rPr>
                <w:rFonts w:ascii="Franklin Gothic Book" w:hAnsi="Franklin Gothic Book"/>
                <w:color w:val="4F81BD" w:themeColor="accent1"/>
                <w:u w:val="single"/>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F84ECF">
      <w:pPr>
        <w:pStyle w:val="ListParagraph"/>
        <w:numPr>
          <w:ilvl w:val="0"/>
          <w:numId w:val="34"/>
        </w:numPr>
        <w:spacing w:after="0"/>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776EE4">
        <w:tc>
          <w:tcPr>
            <w:tcW w:w="8730" w:type="dxa"/>
          </w:tcPr>
          <w:p w:rsidR="00F84ECF" w:rsidRPr="00FB7CCB" w:rsidRDefault="00F84ECF" w:rsidP="00F84ECF">
            <w:pPr>
              <w:rPr>
                <w:rFonts w:ascii="Franklin Gothic Book" w:hAnsi="Franklin Gothic Book"/>
                <w:color w:val="4F81BD" w:themeColor="accent1"/>
              </w:rPr>
            </w:pPr>
            <w:r w:rsidRPr="00F84ECF">
              <w:rPr>
                <w:rFonts w:ascii="Franklin Gothic Book" w:hAnsi="Franklin Gothic Book"/>
                <w:color w:val="4F81BD" w:themeColor="accent1"/>
              </w:rPr>
              <w:t xml:space="preserve">1. </w:t>
            </w:r>
            <w:r w:rsidRPr="00F84ECF">
              <w:rPr>
                <w:rFonts w:ascii="Franklin Gothic Book" w:hAnsi="Franklin Gothic Book"/>
                <w:color w:val="4F81BD" w:themeColor="accent1"/>
                <w:u w:val="single"/>
              </w:rPr>
              <w:t xml:space="preserve">Core Curriculum: </w:t>
            </w:r>
            <w:r w:rsidR="00FB7CCB">
              <w:rPr>
                <w:rFonts w:ascii="Franklin Gothic Book" w:hAnsi="Franklin Gothic Book"/>
                <w:color w:val="4F81BD" w:themeColor="accent1"/>
              </w:rPr>
              <w:t>If response rate does not improve the following year, consider going to a rotation cycle with courses so that more time can be spent seeking out materials from previous non-responders.</w:t>
            </w:r>
          </w:p>
          <w:p w:rsidR="00F84ECF" w:rsidRPr="00F84ECF" w:rsidRDefault="00F84ECF" w:rsidP="00F84ECF">
            <w:pPr>
              <w:rPr>
                <w:rFonts w:ascii="Franklin Gothic Book" w:hAnsi="Franklin Gothic Book"/>
                <w:color w:val="4F81BD" w:themeColor="accent1"/>
                <w:u w:val="single"/>
              </w:rPr>
            </w:pPr>
          </w:p>
          <w:p w:rsidR="00F93E99" w:rsidRPr="00F84ECF" w:rsidRDefault="00F84ECF" w:rsidP="003876A0">
            <w:pPr>
              <w:rPr>
                <w:rFonts w:ascii="Franklin Gothic Book" w:hAnsi="Franklin Gothic Book"/>
                <w:color w:val="4F81BD" w:themeColor="accent1"/>
              </w:rPr>
            </w:pPr>
            <w:r w:rsidRPr="00F84ECF">
              <w:rPr>
                <w:rFonts w:ascii="Franklin Gothic Book" w:hAnsi="Franklin Gothic Book"/>
                <w:color w:val="4F81BD" w:themeColor="accent1"/>
              </w:rPr>
              <w:t>2.</w:t>
            </w:r>
            <w:r w:rsidRPr="00F84ECF">
              <w:rPr>
                <w:rFonts w:ascii="Franklin Gothic Book" w:hAnsi="Franklin Gothic Book"/>
                <w:color w:val="4F81BD" w:themeColor="accent1"/>
                <w:u w:val="single"/>
              </w:rPr>
              <w:t xml:space="preserve"> Instructional Assessment:</w:t>
            </w:r>
            <w:r w:rsidR="002F69FE">
              <w:rPr>
                <w:rFonts w:ascii="Franklin Gothic Book" w:hAnsi="Franklin Gothic Book"/>
                <w:color w:val="4F81BD" w:themeColor="accent1"/>
                <w:u w:val="single"/>
              </w:rPr>
              <w:t xml:space="preserve"> </w:t>
            </w:r>
            <w:r w:rsidR="002F69FE">
              <w:rPr>
                <w:rFonts w:ascii="Franklin Gothic Book" w:hAnsi="Franklin Gothic Book"/>
                <w:color w:val="4F81BD" w:themeColor="accent1"/>
              </w:rPr>
              <w:t>With the Blackboard (Bb) pilot coming up, make sure that an area such as math included so that we can assist them in getting core curriculum and/or program outcome results.</w:t>
            </w:r>
          </w:p>
        </w:tc>
      </w:tr>
    </w:tbl>
    <w:p w:rsidR="008F43B9" w:rsidRDefault="008F43B9"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CB0260" w:rsidRDefault="00CB0260" w:rsidP="00562EBC">
      <w:pPr>
        <w:pStyle w:val="ListParagraph"/>
        <w:ind w:left="810"/>
        <w:rPr>
          <w:rFonts w:ascii="Franklin Gothic Book" w:hAnsi="Franklin Gothic Book"/>
          <w:color w:val="FF0000"/>
          <w:sz w:val="24"/>
        </w:rPr>
      </w:pPr>
    </w:p>
    <w:p w:rsidR="006701C5" w:rsidRDefault="006701C5"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lastRenderedPageBreak/>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776EE4">
        <w:tc>
          <w:tcPr>
            <w:tcW w:w="8730" w:type="dxa"/>
          </w:tcPr>
          <w:tbl>
            <w:tblPr>
              <w:tblW w:w="0" w:type="auto"/>
              <w:tblBorders>
                <w:top w:val="nil"/>
                <w:left w:val="nil"/>
                <w:bottom w:val="nil"/>
                <w:right w:val="nil"/>
              </w:tblBorders>
              <w:tblLook w:val="0000" w:firstRow="0" w:lastRow="0" w:firstColumn="0" w:lastColumn="0" w:noHBand="0" w:noVBand="0"/>
            </w:tblPr>
            <w:tblGrid>
              <w:gridCol w:w="8514"/>
            </w:tblGrid>
            <w:tr w:rsidR="006701C5" w:rsidRPr="006701C5">
              <w:tblPrEx>
                <w:tblCellMar>
                  <w:top w:w="0" w:type="dxa"/>
                  <w:bottom w:w="0" w:type="dxa"/>
                </w:tblCellMar>
              </w:tblPrEx>
              <w:trPr>
                <w:trHeight w:val="1029"/>
              </w:trPr>
              <w:tc>
                <w:tcPr>
                  <w:tcW w:w="0" w:type="auto"/>
                </w:tcPr>
                <w:p w:rsidR="006701C5" w:rsidRPr="006701C5" w:rsidRDefault="006701C5" w:rsidP="006701C5">
                  <w:pPr>
                    <w:pStyle w:val="ListParagraph"/>
                    <w:rPr>
                      <w:rFonts w:ascii="Franklin Gothic Book" w:hAnsi="Franklin Gothic Book"/>
                      <w:color w:val="4F81BD" w:themeColor="accent1"/>
                    </w:rPr>
                  </w:pPr>
                </w:p>
                <w:p w:rsidR="006701C5" w:rsidRPr="006701C5" w:rsidRDefault="006701C5" w:rsidP="006701C5">
                  <w:pPr>
                    <w:pStyle w:val="ListParagraph"/>
                    <w:rPr>
                      <w:rFonts w:ascii="Franklin Gothic Book" w:hAnsi="Franklin Gothic Book"/>
                      <w:color w:val="4F81BD" w:themeColor="accent1"/>
                    </w:rPr>
                  </w:pPr>
                  <w:r w:rsidRPr="006701C5">
                    <w:rPr>
                      <w:rFonts w:ascii="Franklin Gothic Book" w:hAnsi="Franklin Gothic Book"/>
                      <w:color w:val="4F81BD" w:themeColor="accent1"/>
                    </w:rPr>
                    <w:t xml:space="preserve">• Strategy 1.1. “Adjust instruction and services based on assessment data.” – In cooperation with the Assessment Committee, the Office of IE leads the training related to assessment and also the leads the tracking and evaluation of assessment data. </w:t>
                  </w:r>
                </w:p>
                <w:p w:rsidR="006701C5" w:rsidRPr="006701C5" w:rsidRDefault="006701C5" w:rsidP="006701C5">
                  <w:pPr>
                    <w:pStyle w:val="ListParagraph"/>
                    <w:rPr>
                      <w:rFonts w:ascii="Franklin Gothic Book" w:hAnsi="Franklin Gothic Book"/>
                      <w:color w:val="4F81BD" w:themeColor="accent1"/>
                    </w:rPr>
                  </w:pPr>
                  <w:r w:rsidRPr="006701C5">
                    <w:rPr>
                      <w:rFonts w:ascii="Franklin Gothic Book" w:hAnsi="Franklin Gothic Book"/>
                      <w:color w:val="4F81BD" w:themeColor="accent1"/>
                    </w:rPr>
                    <w:t xml:space="preserve">• Task 1.4.1. (and related tasks/subtasks) “Instructional leadership will ensure students completing any course will meet student learning outcomes.” – In cooperation with the Assessment Committee, the Office of IE has led the institution in the new core curriculum process. </w:t>
                  </w:r>
                </w:p>
                <w:p w:rsidR="006701C5" w:rsidRPr="006701C5" w:rsidRDefault="006701C5" w:rsidP="006701C5">
                  <w:pPr>
                    <w:pStyle w:val="ListParagraph"/>
                    <w:rPr>
                      <w:rFonts w:ascii="Franklin Gothic Book" w:hAnsi="Franklin Gothic Book"/>
                      <w:color w:val="4F81BD" w:themeColor="accent1"/>
                    </w:rPr>
                  </w:pPr>
                </w:p>
              </w:tc>
            </w:tr>
          </w:tbl>
          <w:p w:rsidR="008F43B9" w:rsidRPr="004D3599" w:rsidRDefault="008F43B9" w:rsidP="00776EE4">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776EE4">
        <w:tc>
          <w:tcPr>
            <w:tcW w:w="8730" w:type="dxa"/>
          </w:tcPr>
          <w:p w:rsidR="008F43B9" w:rsidRDefault="006701C5"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8F43B9" w:rsidRPr="004D3599" w:rsidRDefault="008F43B9" w:rsidP="00776EE4">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5A0AAD" w:rsidRDefault="005A0AAD" w:rsidP="00E26794">
      <w:pPr>
        <w:pStyle w:val="ListParagraph"/>
        <w:ind w:left="810"/>
        <w:rPr>
          <w:rFonts w:ascii="Franklin Gothic Book" w:hAnsi="Franklin Gothic Book"/>
          <w:sz w:val="24"/>
        </w:rPr>
      </w:pPr>
      <w:bookmarkStart w:id="1" w:name="_GoBack"/>
      <w:bookmarkEnd w:id="1"/>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lastRenderedPageBreak/>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w:t>
      </w:r>
      <w:proofErr w:type="gramStart"/>
      <w:r>
        <w:rPr>
          <w:rFonts w:ascii="Franklin Gothic Book" w:hAnsi="Franklin Gothic Book"/>
          <w:b/>
          <w:sz w:val="24"/>
        </w:rPr>
        <w:t>students</w:t>
      </w:r>
      <w:proofErr w:type="gramEnd"/>
      <w:r>
        <w:rPr>
          <w:rFonts w:ascii="Franklin Gothic Book" w:hAnsi="Franklin Gothic Book"/>
          <w:b/>
          <w:sz w:val="24"/>
        </w:rPr>
        <w:t xml:space="preserve">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776EE4">
        <w:tc>
          <w:tcPr>
            <w:tcW w:w="3150" w:type="dxa"/>
          </w:tcPr>
          <w:p w:rsidR="00AF24AD" w:rsidRPr="00724DB0" w:rsidRDefault="00AF24AD" w:rsidP="00776EE4">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6701C5" w:rsidP="00776EE4">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776EE4">
            <w:pPr>
              <w:pStyle w:val="ListParagraph"/>
              <w:ind w:left="0"/>
              <w:jc w:val="center"/>
              <w:rPr>
                <w:rFonts w:ascii="Franklin Gothic Book" w:hAnsi="Franklin Gothic Book"/>
                <w:color w:val="FF0000"/>
              </w:rPr>
            </w:pPr>
          </w:p>
        </w:tc>
      </w:tr>
      <w:tr w:rsidR="00AF24AD" w:rsidTr="00776EE4">
        <w:tc>
          <w:tcPr>
            <w:tcW w:w="3150" w:type="dxa"/>
          </w:tcPr>
          <w:p w:rsidR="00AF24AD" w:rsidRPr="00724DB0" w:rsidRDefault="00AF24AD" w:rsidP="00776EE4">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6701C5" w:rsidP="00776EE4">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776EE4">
            <w:pPr>
              <w:pStyle w:val="ListParagraph"/>
              <w:ind w:left="0"/>
              <w:jc w:val="center"/>
              <w:rPr>
                <w:rFonts w:ascii="Franklin Gothic Book" w:hAnsi="Franklin Gothic Book"/>
                <w:color w:val="FF0000"/>
              </w:rPr>
            </w:pPr>
          </w:p>
        </w:tc>
      </w:tr>
      <w:tr w:rsidR="00AF24AD" w:rsidTr="00776EE4">
        <w:tc>
          <w:tcPr>
            <w:tcW w:w="3150" w:type="dxa"/>
          </w:tcPr>
          <w:p w:rsidR="00AF24AD" w:rsidRPr="00724DB0" w:rsidRDefault="00AF24AD" w:rsidP="00776EE4">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6701C5" w:rsidP="00776EE4">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776EE4">
            <w:pPr>
              <w:pStyle w:val="ListParagraph"/>
              <w:ind w:left="0"/>
              <w:jc w:val="center"/>
              <w:rPr>
                <w:rFonts w:ascii="Franklin Gothic Book" w:hAnsi="Franklin Gothic Book"/>
                <w:color w:val="FF0000"/>
              </w:rPr>
            </w:pPr>
          </w:p>
        </w:tc>
      </w:tr>
      <w:tr w:rsidR="00AF24AD" w:rsidTr="00776EE4">
        <w:tc>
          <w:tcPr>
            <w:tcW w:w="3150" w:type="dxa"/>
          </w:tcPr>
          <w:p w:rsidR="00AF24AD" w:rsidRPr="00724DB0" w:rsidRDefault="00AF24AD" w:rsidP="00776EE4">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6701C5" w:rsidP="00776EE4">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776EE4">
            <w:pPr>
              <w:pStyle w:val="ListParagraph"/>
              <w:ind w:left="0"/>
              <w:jc w:val="center"/>
              <w:rPr>
                <w:rFonts w:ascii="Franklin Gothic Book" w:hAnsi="Franklin Gothic Book"/>
                <w:color w:val="FF0000"/>
              </w:rPr>
            </w:pPr>
          </w:p>
        </w:tc>
      </w:tr>
      <w:tr w:rsidR="00AF24AD" w:rsidTr="00776EE4">
        <w:tc>
          <w:tcPr>
            <w:tcW w:w="3150" w:type="dxa"/>
          </w:tcPr>
          <w:p w:rsidR="00AF24AD" w:rsidRPr="00724DB0" w:rsidRDefault="00F80AA0" w:rsidP="00776EE4">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6701C5" w:rsidP="00776EE4">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776EE4">
            <w:pPr>
              <w:pStyle w:val="ListParagraph"/>
              <w:ind w:left="0"/>
              <w:jc w:val="center"/>
              <w:rPr>
                <w:rFonts w:ascii="Franklin Gothic Book" w:hAnsi="Franklin Gothic Book"/>
                <w:color w:val="FF0000"/>
              </w:rPr>
            </w:pPr>
          </w:p>
        </w:tc>
      </w:tr>
      <w:tr w:rsidR="00AF24AD" w:rsidTr="00776EE4">
        <w:tc>
          <w:tcPr>
            <w:tcW w:w="3150" w:type="dxa"/>
          </w:tcPr>
          <w:p w:rsidR="00AF24AD" w:rsidRPr="00724DB0" w:rsidRDefault="00F80AA0" w:rsidP="00776EE4">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6701C5" w:rsidP="00776EE4">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776EE4">
            <w:pPr>
              <w:pStyle w:val="ListParagraph"/>
              <w:ind w:left="0"/>
              <w:jc w:val="center"/>
              <w:rPr>
                <w:rFonts w:ascii="Franklin Gothic Book" w:hAnsi="Franklin Gothic Book"/>
                <w:color w:val="FF0000"/>
              </w:rPr>
            </w:pPr>
          </w:p>
        </w:tc>
      </w:tr>
      <w:tr w:rsidR="006810F7" w:rsidTr="00776EE4">
        <w:tc>
          <w:tcPr>
            <w:tcW w:w="3150" w:type="dxa"/>
          </w:tcPr>
          <w:p w:rsidR="006810F7" w:rsidRPr="006810F7" w:rsidRDefault="006701C5" w:rsidP="00776EE4">
            <w:pPr>
              <w:pStyle w:val="ListParagraph"/>
              <w:ind w:left="0"/>
              <w:rPr>
                <w:rFonts w:ascii="Franklin Gothic Book" w:hAnsi="Franklin Gothic Book"/>
                <w:sz w:val="18"/>
                <w:szCs w:val="18"/>
              </w:rPr>
            </w:pPr>
            <w:r>
              <w:rPr>
                <w:rFonts w:ascii="Franklin Gothic Book" w:hAnsi="Franklin Gothic Book"/>
                <w:sz w:val="18"/>
                <w:szCs w:val="18"/>
              </w:rPr>
              <w:t>Technology</w:t>
            </w:r>
          </w:p>
        </w:tc>
        <w:tc>
          <w:tcPr>
            <w:tcW w:w="2992" w:type="dxa"/>
          </w:tcPr>
          <w:p w:rsidR="006810F7" w:rsidRPr="00FF0E36" w:rsidRDefault="006701C5" w:rsidP="00776EE4">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6810F7" w:rsidRPr="00FF0E36" w:rsidRDefault="006810F7" w:rsidP="00776EE4">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20"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4E563D" w:rsidRDefault="004E563D" w:rsidP="004E563D">
            <w:pPr>
              <w:pStyle w:val="Default"/>
              <w:rPr>
                <w:rFonts w:cstheme="minorBidi"/>
                <w:color w:val="auto"/>
              </w:rPr>
            </w:pPr>
          </w:p>
          <w:p w:rsidR="004E563D" w:rsidRDefault="004E563D" w:rsidP="004E563D">
            <w:pPr>
              <w:pStyle w:val="Default"/>
              <w:rPr>
                <w:sz w:val="22"/>
                <w:szCs w:val="22"/>
              </w:rPr>
            </w:pPr>
            <w:r>
              <w:rPr>
                <w:rFonts w:cstheme="minorBidi"/>
                <w:color w:val="4E81BC"/>
                <w:sz w:val="22"/>
                <w:szCs w:val="22"/>
              </w:rPr>
              <w:t xml:space="preserve">• </w:t>
            </w:r>
            <w:r>
              <w:rPr>
                <w:color w:val="4E81BC"/>
                <w:sz w:val="22"/>
                <w:szCs w:val="22"/>
              </w:rPr>
              <w:t xml:space="preserve">Direct Assessment – Lead in the use of checklists to assure direct assessment occurs (when appropriate) in Instructional and Non-Instructional areas. Reports with an explanation of how objectives are measured and results will be linked off the </w:t>
            </w:r>
            <w:hyperlink r:id="rId21" w:history="1">
              <w:r w:rsidRPr="004E563D">
                <w:rPr>
                  <w:rStyle w:val="Hyperlink"/>
                  <w:sz w:val="22"/>
                  <w:szCs w:val="22"/>
                </w:rPr>
                <w:t>Core Curriculum</w:t>
              </w:r>
            </w:hyperlink>
            <w:r>
              <w:rPr>
                <w:color w:val="0000FF"/>
                <w:sz w:val="22"/>
                <w:szCs w:val="22"/>
              </w:rPr>
              <w:t xml:space="preserve"> </w:t>
            </w:r>
            <w:r>
              <w:rPr>
                <w:color w:val="4E81BC"/>
                <w:sz w:val="22"/>
                <w:szCs w:val="22"/>
              </w:rPr>
              <w:t xml:space="preserve">and </w:t>
            </w:r>
            <w:hyperlink r:id="rId22" w:history="1">
              <w:r w:rsidRPr="004E563D">
                <w:rPr>
                  <w:rStyle w:val="Hyperlink"/>
                  <w:sz w:val="22"/>
                  <w:szCs w:val="22"/>
                </w:rPr>
                <w:t>Instructional and Non-Instructional Review page</w:t>
              </w:r>
            </w:hyperlink>
            <w:r>
              <w:rPr>
                <w:color w:val="4E81BC"/>
                <w:sz w:val="22"/>
                <w:szCs w:val="22"/>
              </w:rPr>
              <w:t xml:space="preserve">. </w:t>
            </w:r>
          </w:p>
          <w:p w:rsidR="004E563D" w:rsidRDefault="004E563D" w:rsidP="004E563D">
            <w:pPr>
              <w:pStyle w:val="Default"/>
              <w:rPr>
                <w:color w:val="4E81BC"/>
                <w:sz w:val="22"/>
                <w:szCs w:val="22"/>
              </w:rPr>
            </w:pPr>
            <w:r>
              <w:rPr>
                <w:color w:val="4E81BC"/>
                <w:sz w:val="22"/>
                <w:szCs w:val="22"/>
              </w:rPr>
              <w:t xml:space="preserve">• Surveys – Results specific to general education will be provided on the </w:t>
            </w:r>
            <w:hyperlink r:id="rId23" w:history="1">
              <w:r w:rsidRPr="004E563D">
                <w:rPr>
                  <w:rStyle w:val="Hyperlink"/>
                  <w:sz w:val="22"/>
                  <w:szCs w:val="22"/>
                </w:rPr>
                <w:t>survey page</w:t>
              </w:r>
            </w:hyperlink>
            <w:r>
              <w:rPr>
                <w:color w:val="4E81BC"/>
                <w:sz w:val="22"/>
                <w:szCs w:val="22"/>
              </w:rPr>
              <w:t xml:space="preserve">. </w:t>
            </w:r>
          </w:p>
          <w:p w:rsidR="004E563D" w:rsidRDefault="004E563D" w:rsidP="004E563D">
            <w:pPr>
              <w:pStyle w:val="Default"/>
              <w:rPr>
                <w:color w:val="4E81BC"/>
                <w:sz w:val="22"/>
                <w:szCs w:val="22"/>
              </w:rPr>
            </w:pPr>
            <w:r>
              <w:rPr>
                <w:color w:val="4E81BC"/>
                <w:sz w:val="22"/>
                <w:szCs w:val="22"/>
              </w:rPr>
              <w:t xml:space="preserve">• Focus Groups – Assist with focus groups (e.g. FYS, Communications, etc.) as needed. The focus group results are compiled by Lana Jackson, QEP director and are presented by her department in their own review/QEP documentation. </w:t>
            </w:r>
          </w:p>
          <w:p w:rsidR="00875A4E" w:rsidRPr="004E563D" w:rsidRDefault="004E563D" w:rsidP="004E563D">
            <w:pPr>
              <w:pStyle w:val="Default"/>
              <w:rPr>
                <w:sz w:val="22"/>
                <w:szCs w:val="22"/>
              </w:rPr>
            </w:pPr>
            <w:r>
              <w:rPr>
                <w:color w:val="4E81BC"/>
                <w:sz w:val="22"/>
                <w:szCs w:val="22"/>
              </w:rPr>
              <w:t xml:space="preserve">• Rubric Evaluation –Assist with evaluating rubrics as needed (e.g. FYS, English, etc.). Again, these results are housed in the department office completing the assessment. </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box/es)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4E563D" w:rsidP="004E563D">
            <w:pPr>
              <w:pStyle w:val="ListParagraph"/>
              <w:ind w:left="0"/>
              <w:jc w:val="center"/>
              <w:rPr>
                <w:rFonts w:ascii="Franklin Gothic Book" w:hAnsi="Franklin Gothic Book"/>
                <w:b/>
                <w:sz w:val="24"/>
              </w:rPr>
            </w:pPr>
            <w:r>
              <w:rPr>
                <w:rFonts w:ascii="Franklin Gothic Book" w:hAnsi="Franklin Gothic Book"/>
                <w:b/>
                <w:sz w:val="24"/>
              </w:rPr>
              <w:t>X</w:t>
            </w:r>
          </w:p>
        </w:tc>
        <w:tc>
          <w:tcPr>
            <w:tcW w:w="1954" w:type="dxa"/>
          </w:tcPr>
          <w:p w:rsidR="00780BF1" w:rsidRDefault="00780BF1" w:rsidP="004E563D">
            <w:pPr>
              <w:pStyle w:val="ListParagraph"/>
              <w:ind w:left="0"/>
              <w:jc w:val="center"/>
              <w:rPr>
                <w:rFonts w:ascii="Franklin Gothic Book" w:hAnsi="Franklin Gothic Book"/>
                <w:b/>
                <w:sz w:val="24"/>
              </w:rPr>
            </w:pPr>
          </w:p>
        </w:tc>
        <w:tc>
          <w:tcPr>
            <w:tcW w:w="1986" w:type="dxa"/>
          </w:tcPr>
          <w:p w:rsidR="00780BF1" w:rsidRDefault="00780BF1" w:rsidP="004E563D">
            <w:pPr>
              <w:pStyle w:val="ListParagraph"/>
              <w:ind w:left="0"/>
              <w:jc w:val="center"/>
              <w:rPr>
                <w:rFonts w:ascii="Franklin Gothic Book" w:hAnsi="Franklin Gothic Book"/>
                <w:b/>
                <w:sz w:val="24"/>
              </w:rPr>
            </w:pPr>
          </w:p>
        </w:tc>
        <w:tc>
          <w:tcPr>
            <w:tcW w:w="1952" w:type="dxa"/>
          </w:tcPr>
          <w:p w:rsidR="00780BF1" w:rsidRDefault="004E563D" w:rsidP="004E563D">
            <w:pPr>
              <w:pStyle w:val="ListParagraph"/>
              <w:ind w:left="0"/>
              <w:jc w:val="center"/>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4E563D">
            <w:pPr>
              <w:pStyle w:val="ListParagraph"/>
              <w:ind w:left="0"/>
              <w:jc w:val="center"/>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4E563D">
      <w:pPr>
        <w:spacing w:after="0"/>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4E563D" w:rsidRDefault="004E563D" w:rsidP="004E563D">
            <w:pPr>
              <w:pStyle w:val="Default"/>
              <w:rPr>
                <w:color w:val="4E81BC"/>
                <w:sz w:val="22"/>
                <w:szCs w:val="22"/>
              </w:rPr>
            </w:pPr>
            <w:r>
              <w:rPr>
                <w:color w:val="4E81BC"/>
                <w:sz w:val="22"/>
                <w:szCs w:val="22"/>
              </w:rPr>
              <w:t xml:space="preserve">STUDENTS: I currently work with students in-person via focus groups. I also conduct Class Climate surveys that are sent out via email. At this time, the Office of IE has no other plans to expand the learning objectives/modes of delivery to students since this offices does not typically work directly with students. However, this office is available to support students as requested/needed. </w:t>
            </w:r>
          </w:p>
          <w:p w:rsidR="004E563D" w:rsidRDefault="004E563D" w:rsidP="004E563D">
            <w:pPr>
              <w:pStyle w:val="Default"/>
              <w:rPr>
                <w:color w:val="4E81BC"/>
                <w:sz w:val="22"/>
                <w:szCs w:val="22"/>
              </w:rPr>
            </w:pPr>
          </w:p>
          <w:p w:rsidR="00A801E9" w:rsidRPr="004D3599" w:rsidRDefault="004E563D" w:rsidP="004E563D">
            <w:pPr>
              <w:pStyle w:val="ListParagraph"/>
              <w:ind w:left="0"/>
              <w:rPr>
                <w:rFonts w:ascii="Franklin Gothic Book" w:hAnsi="Franklin Gothic Book"/>
                <w:color w:val="4F81BD" w:themeColor="accent1"/>
              </w:rPr>
            </w:pPr>
            <w:r>
              <w:rPr>
                <w:color w:val="4E81BC"/>
              </w:rPr>
              <w:t xml:space="preserve">FACULTY/STAFF (Relates to Students): It’s been requested that the Director of IE develop pre-recorded trainings and/or documents that walk through various processes for faculty/staff (which relate to student assessment) so this mode of delivery will be explored for the 2015-2016 year. This was a consideration for 2014-2015, but I attended many division and department-specific meetings that year where I presented information in-person so this consideration has been temporarily tabled. </w:t>
            </w: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776EE4">
        <w:tc>
          <w:tcPr>
            <w:tcW w:w="8640" w:type="dxa"/>
          </w:tcPr>
          <w:p w:rsidR="00B01E2C" w:rsidRPr="004D3599" w:rsidRDefault="00776EE4"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All FERPA regulations are followed. Student information is not shared except in a redacted and/or complied manner so that a student’s individual identity is anonymous. </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776EE4">
        <w:tc>
          <w:tcPr>
            <w:tcW w:w="8640" w:type="dxa"/>
          </w:tcPr>
          <w:p w:rsidR="00B01E2C" w:rsidRPr="004D3599" w:rsidRDefault="00776EE4"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 I do not have employees. </w:t>
            </w: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776EE4">
        <w:tc>
          <w:tcPr>
            <w:tcW w:w="8640" w:type="dxa"/>
          </w:tcPr>
          <w:p w:rsidR="00B01E2C" w:rsidRDefault="00776EE4"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A67AE7" w:rsidRPr="004D3599" w:rsidRDefault="00A67AE7" w:rsidP="00776EE4">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776EE4">
        <w:tc>
          <w:tcPr>
            <w:tcW w:w="8640" w:type="dxa"/>
          </w:tcPr>
          <w:p w:rsidR="00293945" w:rsidRPr="004D3599" w:rsidRDefault="00776EE4"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SACS-COC now required </w:t>
            </w:r>
            <w:hyperlink r:id="rId24" w:history="1">
              <w:r w:rsidRPr="00776EE4">
                <w:rPr>
                  <w:rStyle w:val="Hyperlink"/>
                  <w:rFonts w:ascii="Franklin Gothic Book" w:hAnsi="Franklin Gothic Book"/>
                </w:rPr>
                <w:t>student achievement information</w:t>
              </w:r>
            </w:hyperlink>
            <w:r>
              <w:rPr>
                <w:rFonts w:ascii="Franklin Gothic Book" w:hAnsi="Franklin Gothic Book"/>
                <w:color w:val="4F81BD" w:themeColor="accent1"/>
              </w:rPr>
              <w:t xml:space="preserve"> to appear online so a Web page has been developed for this purpose and the link has been shared with SACS-COC.</w:t>
            </w:r>
          </w:p>
          <w:p w:rsidR="00293945" w:rsidRPr="004D3599" w:rsidRDefault="00293945" w:rsidP="00776EE4">
            <w:pPr>
              <w:pStyle w:val="ListParagraph"/>
              <w:ind w:left="0"/>
              <w:rPr>
                <w:rFonts w:ascii="Franklin Gothic Book" w:hAnsi="Franklin Gothic Book"/>
                <w:color w:val="4F81BD" w:themeColor="accent1"/>
              </w:rPr>
            </w:pPr>
          </w:p>
          <w:p w:rsidR="00293945" w:rsidRPr="004D3599" w:rsidRDefault="00293945" w:rsidP="00776EE4">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776EE4">
        <w:tc>
          <w:tcPr>
            <w:tcW w:w="8640" w:type="dxa"/>
          </w:tcPr>
          <w:p w:rsidR="005D0E07" w:rsidRPr="004D3599" w:rsidRDefault="00776EE4"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We have undergone quite a few changes to address THECB core curriculum requirements. We are not currently compliant, but I expect we will need to continue to refine/revise our processes.</w:t>
            </w:r>
          </w:p>
          <w:p w:rsidR="005D0E07" w:rsidRPr="004D3599" w:rsidRDefault="005D0E07" w:rsidP="00776EE4">
            <w:pPr>
              <w:pStyle w:val="ListParagraph"/>
              <w:ind w:left="0"/>
              <w:rPr>
                <w:rFonts w:ascii="Franklin Gothic Book" w:hAnsi="Franklin Gothic Book"/>
                <w:color w:val="4F81BD" w:themeColor="accent1"/>
              </w:rPr>
            </w:pPr>
          </w:p>
          <w:p w:rsidR="005D0E07" w:rsidRPr="004D3599" w:rsidRDefault="005D0E07" w:rsidP="00776EE4">
            <w:pPr>
              <w:pStyle w:val="ListParagraph"/>
              <w:ind w:left="0"/>
              <w:rPr>
                <w:rFonts w:ascii="Franklin Gothic Book" w:hAnsi="Franklin Gothic Book"/>
                <w:color w:val="4F81BD" w:themeColor="accent1"/>
              </w:rPr>
            </w:pPr>
          </w:p>
        </w:tc>
      </w:tr>
    </w:tbl>
    <w:p w:rsidR="005D0E07" w:rsidRDefault="005D0E07" w:rsidP="005D0E07">
      <w:pPr>
        <w:pStyle w:val="ListParagraph"/>
        <w:ind w:left="1260"/>
        <w:rPr>
          <w:rFonts w:ascii="Franklin Gothic Book" w:hAnsi="Franklin Gothic Book"/>
          <w:sz w:val="24"/>
        </w:rPr>
      </w:pPr>
    </w:p>
    <w:p w:rsidR="00776EE4" w:rsidRDefault="00776EE4" w:rsidP="005D0E07">
      <w:pPr>
        <w:pStyle w:val="ListParagraph"/>
        <w:ind w:left="1260"/>
        <w:rPr>
          <w:rFonts w:ascii="Franklin Gothic Book" w:hAnsi="Franklin Gothic Book"/>
          <w:sz w:val="24"/>
        </w:rPr>
      </w:pPr>
    </w:p>
    <w:p w:rsidR="00776EE4" w:rsidRDefault="00776EE4" w:rsidP="005D0E07">
      <w:pPr>
        <w:pStyle w:val="ListParagraph"/>
        <w:ind w:left="1260"/>
        <w:rPr>
          <w:rFonts w:ascii="Franklin Gothic Book" w:hAnsi="Franklin Gothic Book"/>
          <w:sz w:val="24"/>
        </w:rPr>
      </w:pPr>
    </w:p>
    <w:p w:rsidR="00776EE4" w:rsidRDefault="00776EE4" w:rsidP="005D0E07">
      <w:pPr>
        <w:pStyle w:val="ListParagraph"/>
        <w:ind w:left="1260"/>
        <w:rPr>
          <w:rFonts w:ascii="Franklin Gothic Book" w:hAnsi="Franklin Gothic Book"/>
          <w:sz w:val="24"/>
        </w:rPr>
      </w:pPr>
    </w:p>
    <w:p w:rsidR="00776EE4" w:rsidRDefault="00776EE4" w:rsidP="005D0E07">
      <w:pPr>
        <w:pStyle w:val="ListParagraph"/>
        <w:ind w:left="1260"/>
        <w:rPr>
          <w:rFonts w:ascii="Franklin Gothic Book" w:hAnsi="Franklin Gothic Book"/>
          <w:sz w:val="24"/>
        </w:rPr>
      </w:pPr>
    </w:p>
    <w:p w:rsidR="00776EE4" w:rsidRPr="00E02198" w:rsidRDefault="00776EE4"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4A1928" w:rsidRPr="004A1928" w:rsidRDefault="004A1928" w:rsidP="00776EE4">
            <w:pPr>
              <w:pStyle w:val="ListParagraph"/>
              <w:ind w:left="0"/>
              <w:rPr>
                <w:rFonts w:ascii="Franklin Gothic Book" w:hAnsi="Franklin Gothic Book"/>
                <w:color w:val="4F81BD" w:themeColor="accent1"/>
                <w:u w:val="single"/>
              </w:rPr>
            </w:pPr>
            <w:r>
              <w:rPr>
                <w:rFonts w:ascii="Franklin Gothic Book" w:hAnsi="Franklin Gothic Book"/>
                <w:color w:val="4F81BD" w:themeColor="accent1"/>
                <w:u w:val="single"/>
              </w:rPr>
              <w:t>Issue</w:t>
            </w:r>
          </w:p>
          <w:p w:rsidR="009C5092" w:rsidRDefault="00776EE4"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biggest issue/obstacle I currently face is process/initiative management. We currently have many projects underway and many new projects scheduled to start in the near future. Figuring out how to manage all the work without the assistance of workflow or software has proven to be a challenge. Although we will move to Bb Assessment which will help with document storage, many schools such as Odessa College have a full-time person devoted to managing the assessment processes through Bb; whereas, we do not. </w:t>
            </w:r>
          </w:p>
          <w:p w:rsidR="004A1928" w:rsidRDefault="004A1928" w:rsidP="00776EE4">
            <w:pPr>
              <w:pStyle w:val="ListParagraph"/>
              <w:ind w:left="0"/>
              <w:rPr>
                <w:rFonts w:ascii="Franklin Gothic Book" w:hAnsi="Franklin Gothic Book"/>
                <w:color w:val="4F81BD" w:themeColor="accent1"/>
              </w:rPr>
            </w:pPr>
          </w:p>
          <w:p w:rsidR="004A1928" w:rsidRDefault="004A1928"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u w:val="single"/>
              </w:rPr>
              <w:t>Evidence</w:t>
            </w:r>
          </w:p>
          <w:p w:rsidR="004A1928" w:rsidRPr="004A1928" w:rsidRDefault="004A1928"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As cited in the outcomes portion of this document, many areas are not submitting forms and STEM and Technical Education, in particular, need more assistance in order for AC to meet its outcome goals.</w:t>
            </w:r>
          </w:p>
          <w:p w:rsidR="004A1928" w:rsidRDefault="004A1928" w:rsidP="00776EE4">
            <w:pPr>
              <w:pStyle w:val="ListParagraph"/>
              <w:ind w:left="0"/>
              <w:rPr>
                <w:rFonts w:ascii="Franklin Gothic Book" w:hAnsi="Franklin Gothic Book"/>
                <w:color w:val="4F81BD" w:themeColor="accent1"/>
              </w:rPr>
            </w:pPr>
          </w:p>
          <w:p w:rsidR="004A1928" w:rsidRDefault="004A1928"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u w:val="single"/>
              </w:rPr>
              <w:t>Fix Issue</w:t>
            </w:r>
          </w:p>
          <w:p w:rsidR="004A1928" w:rsidRDefault="004A1928"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Over the next few years, a cycle needs to be created and/or sampling put in place so that every area does not need to submit everything all of the time. More changes are coming to our assessment processes so we also need to consistently do and request one thing leading up to the 5</w:t>
            </w:r>
            <w:r w:rsidRPr="004A1928">
              <w:rPr>
                <w:rFonts w:ascii="Franklin Gothic Book" w:hAnsi="Franklin Gothic Book"/>
                <w:color w:val="4F81BD" w:themeColor="accent1"/>
                <w:vertAlign w:val="superscript"/>
              </w:rPr>
              <w:t>th</w:t>
            </w:r>
            <w:r>
              <w:rPr>
                <w:rFonts w:ascii="Franklin Gothic Book" w:hAnsi="Franklin Gothic Book"/>
                <w:color w:val="4F81BD" w:themeColor="accent1"/>
              </w:rPr>
              <w:t xml:space="preserve"> year review. We’ve changed our process virtually every year since the decennial review and while we’re evolving which is a good thing, the inconsistency has caused confusion related to expectations.</w:t>
            </w:r>
          </w:p>
          <w:p w:rsidR="004A1928" w:rsidRDefault="004A1928" w:rsidP="00776EE4">
            <w:pPr>
              <w:pStyle w:val="ListParagraph"/>
              <w:ind w:left="0"/>
              <w:rPr>
                <w:rFonts w:ascii="Franklin Gothic Book" w:hAnsi="Franklin Gothic Book"/>
                <w:color w:val="4F81BD" w:themeColor="accent1"/>
              </w:rPr>
            </w:pPr>
          </w:p>
          <w:p w:rsidR="004A1928" w:rsidRDefault="004A1928"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u w:val="single"/>
              </w:rPr>
              <w:t>Budgetary</w:t>
            </w:r>
          </w:p>
          <w:p w:rsidR="004A1928" w:rsidRPr="004A1928" w:rsidRDefault="004A1928" w:rsidP="00776EE4">
            <w:pPr>
              <w:pStyle w:val="ListParagraph"/>
              <w:ind w:left="0"/>
              <w:rPr>
                <w:rFonts w:ascii="Franklin Gothic Book" w:hAnsi="Franklin Gothic Book"/>
                <w:color w:val="4F81BD" w:themeColor="accent1"/>
              </w:rPr>
            </w:pPr>
            <w:r>
              <w:rPr>
                <w:rFonts w:ascii="Franklin Gothic Book" w:hAnsi="Franklin Gothic Book"/>
                <w:color w:val="4F81BD" w:themeColor="accent1"/>
              </w:rPr>
              <w:t>If we move to a sample/cycle, there would not be any budgetary expectations. However, bringing in more assistance and/or offering faculty a stipend would definitely have strong ramifications.</w:t>
            </w:r>
          </w:p>
          <w:p w:rsidR="009C5092" w:rsidRPr="004D3599" w:rsidRDefault="009C5092" w:rsidP="00776EE4">
            <w:pPr>
              <w:pStyle w:val="ListParagraph"/>
              <w:ind w:left="0"/>
              <w:rPr>
                <w:rFonts w:ascii="Franklin Gothic Book" w:hAnsi="Franklin Gothic Book"/>
                <w:color w:val="4F81BD" w:themeColor="accent1"/>
              </w:rPr>
            </w:pPr>
          </w:p>
          <w:p w:rsidR="009C5092" w:rsidRPr="004D3599" w:rsidRDefault="009C5092" w:rsidP="00776EE4">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776EE4">
            <w:pPr>
              <w:pStyle w:val="ListParagraph"/>
              <w:ind w:left="0"/>
              <w:rPr>
                <w:rFonts w:ascii="Franklin Gothic Book" w:hAnsi="Franklin Gothic Book"/>
                <w:color w:val="4F81BD" w:themeColor="accent1"/>
              </w:rPr>
            </w:pPr>
          </w:p>
          <w:p w:rsidR="00E11859" w:rsidRPr="004D3599" w:rsidRDefault="00E11859" w:rsidP="00776EE4">
            <w:pPr>
              <w:pStyle w:val="ListParagraph"/>
              <w:ind w:left="0"/>
              <w:rPr>
                <w:rFonts w:ascii="Franklin Gothic Book" w:hAnsi="Franklin Gothic Book"/>
                <w:color w:val="4F81BD" w:themeColor="accent1"/>
              </w:rPr>
            </w:pPr>
          </w:p>
          <w:p w:rsidR="00E11859" w:rsidRPr="004D3599" w:rsidRDefault="00E11859" w:rsidP="00776EE4">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sectPr w:rsidR="00E5779F" w:rsidRPr="00E5779F" w:rsidSect="00281B68">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23" w:rsidRDefault="007C6623" w:rsidP="005834C6">
      <w:pPr>
        <w:spacing w:after="0" w:line="240" w:lineRule="auto"/>
      </w:pPr>
      <w:r>
        <w:separator/>
      </w:r>
    </w:p>
  </w:endnote>
  <w:endnote w:type="continuationSeparator" w:id="0">
    <w:p w:rsidR="007C6623" w:rsidRDefault="007C6623"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E4" w:rsidRDefault="00776EE4">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776EE4" w:rsidRDefault="00776E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A0AAD" w:rsidRPr="005A0AAD">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776EE4" w:rsidRDefault="00776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23" w:rsidRDefault="007C6623" w:rsidP="005834C6">
      <w:pPr>
        <w:spacing w:after="0" w:line="240" w:lineRule="auto"/>
      </w:pPr>
      <w:r>
        <w:separator/>
      </w:r>
    </w:p>
  </w:footnote>
  <w:footnote w:type="continuationSeparator" w:id="0">
    <w:p w:rsidR="007C6623" w:rsidRDefault="007C6623"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910144"/>
    <w:multiLevelType w:val="hybridMultilevel"/>
    <w:tmpl w:val="9314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97D1D"/>
    <w:multiLevelType w:val="hybridMultilevel"/>
    <w:tmpl w:val="2E1A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FBA5B67"/>
    <w:multiLevelType w:val="hybridMultilevel"/>
    <w:tmpl w:val="6AE8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6426B6B"/>
    <w:multiLevelType w:val="hybridMultilevel"/>
    <w:tmpl w:val="513A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4"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753328"/>
    <w:multiLevelType w:val="hybridMultilevel"/>
    <w:tmpl w:val="9D78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5"/>
  </w:num>
  <w:num w:numId="3">
    <w:abstractNumId w:val="8"/>
  </w:num>
  <w:num w:numId="4">
    <w:abstractNumId w:val="33"/>
  </w:num>
  <w:num w:numId="5">
    <w:abstractNumId w:val="0"/>
  </w:num>
  <w:num w:numId="6">
    <w:abstractNumId w:val="25"/>
  </w:num>
  <w:num w:numId="7">
    <w:abstractNumId w:val="23"/>
  </w:num>
  <w:num w:numId="8">
    <w:abstractNumId w:val="40"/>
  </w:num>
  <w:num w:numId="9">
    <w:abstractNumId w:val="19"/>
  </w:num>
  <w:num w:numId="10">
    <w:abstractNumId w:val="35"/>
  </w:num>
  <w:num w:numId="11">
    <w:abstractNumId w:val="18"/>
  </w:num>
  <w:num w:numId="12">
    <w:abstractNumId w:val="36"/>
  </w:num>
  <w:num w:numId="13">
    <w:abstractNumId w:val="38"/>
  </w:num>
  <w:num w:numId="14">
    <w:abstractNumId w:val="16"/>
  </w:num>
  <w:num w:numId="15">
    <w:abstractNumId w:val="26"/>
  </w:num>
  <w:num w:numId="16">
    <w:abstractNumId w:val="20"/>
  </w:num>
  <w:num w:numId="17">
    <w:abstractNumId w:val="27"/>
  </w:num>
  <w:num w:numId="18">
    <w:abstractNumId w:val="32"/>
  </w:num>
  <w:num w:numId="19">
    <w:abstractNumId w:val="17"/>
  </w:num>
  <w:num w:numId="20">
    <w:abstractNumId w:val="7"/>
  </w:num>
  <w:num w:numId="21">
    <w:abstractNumId w:val="2"/>
  </w:num>
  <w:num w:numId="22">
    <w:abstractNumId w:val="24"/>
  </w:num>
  <w:num w:numId="23">
    <w:abstractNumId w:val="1"/>
  </w:num>
  <w:num w:numId="24">
    <w:abstractNumId w:val="15"/>
  </w:num>
  <w:num w:numId="25">
    <w:abstractNumId w:val="21"/>
  </w:num>
  <w:num w:numId="26">
    <w:abstractNumId w:val="9"/>
  </w:num>
  <w:num w:numId="27">
    <w:abstractNumId w:val="29"/>
  </w:num>
  <w:num w:numId="28">
    <w:abstractNumId w:val="34"/>
  </w:num>
  <w:num w:numId="29">
    <w:abstractNumId w:val="6"/>
  </w:num>
  <w:num w:numId="30">
    <w:abstractNumId w:val="41"/>
  </w:num>
  <w:num w:numId="31">
    <w:abstractNumId w:val="31"/>
  </w:num>
  <w:num w:numId="32">
    <w:abstractNumId w:val="13"/>
  </w:num>
  <w:num w:numId="33">
    <w:abstractNumId w:val="30"/>
  </w:num>
  <w:num w:numId="34">
    <w:abstractNumId w:val="22"/>
  </w:num>
  <w:num w:numId="35">
    <w:abstractNumId w:val="12"/>
  </w:num>
  <w:num w:numId="36">
    <w:abstractNumId w:val="10"/>
  </w:num>
  <w:num w:numId="37">
    <w:abstractNumId w:val="28"/>
  </w:num>
  <w:num w:numId="38">
    <w:abstractNumId w:val="37"/>
  </w:num>
  <w:num w:numId="39">
    <w:abstractNumId w:val="11"/>
  </w:num>
  <w:num w:numId="40">
    <w:abstractNumId w:val="3"/>
  </w:num>
  <w:num w:numId="41">
    <w:abstractNumId w:val="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9106E"/>
    <w:rsid w:val="000B444F"/>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1F4097"/>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561F"/>
    <w:rsid w:val="002A625D"/>
    <w:rsid w:val="002B667B"/>
    <w:rsid w:val="002C5602"/>
    <w:rsid w:val="002C69B8"/>
    <w:rsid w:val="002C6E61"/>
    <w:rsid w:val="002F24F9"/>
    <w:rsid w:val="002F2F64"/>
    <w:rsid w:val="002F4743"/>
    <w:rsid w:val="002F69FE"/>
    <w:rsid w:val="00317B6F"/>
    <w:rsid w:val="003366F1"/>
    <w:rsid w:val="00337131"/>
    <w:rsid w:val="003630E9"/>
    <w:rsid w:val="00364A7D"/>
    <w:rsid w:val="00365545"/>
    <w:rsid w:val="003714A0"/>
    <w:rsid w:val="0037171B"/>
    <w:rsid w:val="0037417D"/>
    <w:rsid w:val="003838ED"/>
    <w:rsid w:val="0038644E"/>
    <w:rsid w:val="003876A0"/>
    <w:rsid w:val="003A175F"/>
    <w:rsid w:val="003B51A0"/>
    <w:rsid w:val="003C2958"/>
    <w:rsid w:val="003C52A8"/>
    <w:rsid w:val="003E1850"/>
    <w:rsid w:val="003E2E96"/>
    <w:rsid w:val="003E3127"/>
    <w:rsid w:val="003F1D3C"/>
    <w:rsid w:val="003F2A33"/>
    <w:rsid w:val="003F4004"/>
    <w:rsid w:val="0040289C"/>
    <w:rsid w:val="00404E33"/>
    <w:rsid w:val="00421AF9"/>
    <w:rsid w:val="00422043"/>
    <w:rsid w:val="0042347B"/>
    <w:rsid w:val="00440BAC"/>
    <w:rsid w:val="004437A5"/>
    <w:rsid w:val="004449EB"/>
    <w:rsid w:val="004540F6"/>
    <w:rsid w:val="00457615"/>
    <w:rsid w:val="0046202F"/>
    <w:rsid w:val="00487152"/>
    <w:rsid w:val="004A1928"/>
    <w:rsid w:val="004D0433"/>
    <w:rsid w:val="004D3599"/>
    <w:rsid w:val="004D4390"/>
    <w:rsid w:val="004E2929"/>
    <w:rsid w:val="004E563D"/>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97C26"/>
    <w:rsid w:val="005A0AAD"/>
    <w:rsid w:val="005A53C4"/>
    <w:rsid w:val="005B3757"/>
    <w:rsid w:val="005B7109"/>
    <w:rsid w:val="005B7906"/>
    <w:rsid w:val="005C7497"/>
    <w:rsid w:val="005D0E07"/>
    <w:rsid w:val="0060185F"/>
    <w:rsid w:val="00607F64"/>
    <w:rsid w:val="00614426"/>
    <w:rsid w:val="00627AAF"/>
    <w:rsid w:val="00631A9B"/>
    <w:rsid w:val="00641E9D"/>
    <w:rsid w:val="0065490E"/>
    <w:rsid w:val="006701C5"/>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A94"/>
    <w:rsid w:val="00724DB0"/>
    <w:rsid w:val="00734407"/>
    <w:rsid w:val="007405F8"/>
    <w:rsid w:val="007525CB"/>
    <w:rsid w:val="00755196"/>
    <w:rsid w:val="007563CD"/>
    <w:rsid w:val="00770313"/>
    <w:rsid w:val="00776EE4"/>
    <w:rsid w:val="00780BF1"/>
    <w:rsid w:val="007866E4"/>
    <w:rsid w:val="007A14CD"/>
    <w:rsid w:val="007A4B36"/>
    <w:rsid w:val="007A5DC3"/>
    <w:rsid w:val="007B01A6"/>
    <w:rsid w:val="007B102F"/>
    <w:rsid w:val="007B4AAB"/>
    <w:rsid w:val="007B64E4"/>
    <w:rsid w:val="007B65A5"/>
    <w:rsid w:val="007C345D"/>
    <w:rsid w:val="007C6623"/>
    <w:rsid w:val="007C7343"/>
    <w:rsid w:val="007D7BD2"/>
    <w:rsid w:val="007E1243"/>
    <w:rsid w:val="007E240D"/>
    <w:rsid w:val="007E5CB6"/>
    <w:rsid w:val="007E6E01"/>
    <w:rsid w:val="007F0D4B"/>
    <w:rsid w:val="00802E3D"/>
    <w:rsid w:val="00803626"/>
    <w:rsid w:val="008158E0"/>
    <w:rsid w:val="008162E2"/>
    <w:rsid w:val="0082384D"/>
    <w:rsid w:val="00833092"/>
    <w:rsid w:val="00843337"/>
    <w:rsid w:val="008457D9"/>
    <w:rsid w:val="008463EE"/>
    <w:rsid w:val="00855712"/>
    <w:rsid w:val="00856252"/>
    <w:rsid w:val="00861557"/>
    <w:rsid w:val="00862726"/>
    <w:rsid w:val="008647A1"/>
    <w:rsid w:val="00874E28"/>
    <w:rsid w:val="00875A4E"/>
    <w:rsid w:val="008A4081"/>
    <w:rsid w:val="008A40AD"/>
    <w:rsid w:val="008A593D"/>
    <w:rsid w:val="008B36B2"/>
    <w:rsid w:val="008B648F"/>
    <w:rsid w:val="008C0316"/>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5092"/>
    <w:rsid w:val="009D09F0"/>
    <w:rsid w:val="009D3E54"/>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90B90"/>
    <w:rsid w:val="00AA335F"/>
    <w:rsid w:val="00AB0998"/>
    <w:rsid w:val="00AB6E95"/>
    <w:rsid w:val="00AC35A1"/>
    <w:rsid w:val="00AC6E50"/>
    <w:rsid w:val="00AD1D7B"/>
    <w:rsid w:val="00AD460A"/>
    <w:rsid w:val="00AE0BC4"/>
    <w:rsid w:val="00AE0FA8"/>
    <w:rsid w:val="00AE17A1"/>
    <w:rsid w:val="00AE1BA1"/>
    <w:rsid w:val="00AE1D23"/>
    <w:rsid w:val="00AE72CE"/>
    <w:rsid w:val="00AF24AD"/>
    <w:rsid w:val="00AF3067"/>
    <w:rsid w:val="00B01E2C"/>
    <w:rsid w:val="00B04FA7"/>
    <w:rsid w:val="00B05D0E"/>
    <w:rsid w:val="00B06F9B"/>
    <w:rsid w:val="00B12AAC"/>
    <w:rsid w:val="00B21FC0"/>
    <w:rsid w:val="00B24ED5"/>
    <w:rsid w:val="00B30FA5"/>
    <w:rsid w:val="00B33878"/>
    <w:rsid w:val="00B44846"/>
    <w:rsid w:val="00B45EE8"/>
    <w:rsid w:val="00B5778C"/>
    <w:rsid w:val="00B618DA"/>
    <w:rsid w:val="00B64A21"/>
    <w:rsid w:val="00B66ABF"/>
    <w:rsid w:val="00B742C3"/>
    <w:rsid w:val="00B75FDC"/>
    <w:rsid w:val="00B8630B"/>
    <w:rsid w:val="00B96B6B"/>
    <w:rsid w:val="00BA5FD7"/>
    <w:rsid w:val="00BB19E8"/>
    <w:rsid w:val="00BB1C87"/>
    <w:rsid w:val="00BC2C75"/>
    <w:rsid w:val="00BD1F58"/>
    <w:rsid w:val="00C14035"/>
    <w:rsid w:val="00C140E0"/>
    <w:rsid w:val="00C17AC3"/>
    <w:rsid w:val="00C35B42"/>
    <w:rsid w:val="00C37A81"/>
    <w:rsid w:val="00C4372B"/>
    <w:rsid w:val="00C44020"/>
    <w:rsid w:val="00C64A7C"/>
    <w:rsid w:val="00C66231"/>
    <w:rsid w:val="00C75ED7"/>
    <w:rsid w:val="00C91B03"/>
    <w:rsid w:val="00CA0371"/>
    <w:rsid w:val="00CB0260"/>
    <w:rsid w:val="00CB6DC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45C4F"/>
    <w:rsid w:val="00E46E2A"/>
    <w:rsid w:val="00E54AC3"/>
    <w:rsid w:val="00E5779F"/>
    <w:rsid w:val="00E67483"/>
    <w:rsid w:val="00E72FDF"/>
    <w:rsid w:val="00E76D42"/>
    <w:rsid w:val="00EA1690"/>
    <w:rsid w:val="00EA17B8"/>
    <w:rsid w:val="00EA7713"/>
    <w:rsid w:val="00EC6AA6"/>
    <w:rsid w:val="00ED0F92"/>
    <w:rsid w:val="00ED120D"/>
    <w:rsid w:val="00ED6BB6"/>
    <w:rsid w:val="00EF0844"/>
    <w:rsid w:val="00EF5CF9"/>
    <w:rsid w:val="00F150D3"/>
    <w:rsid w:val="00F25085"/>
    <w:rsid w:val="00F5389C"/>
    <w:rsid w:val="00F60BF2"/>
    <w:rsid w:val="00F64F54"/>
    <w:rsid w:val="00F73063"/>
    <w:rsid w:val="00F80AA0"/>
    <w:rsid w:val="00F84ECF"/>
    <w:rsid w:val="00F915DC"/>
    <w:rsid w:val="00F93E99"/>
    <w:rsid w:val="00FA3E34"/>
    <w:rsid w:val="00FB2451"/>
    <w:rsid w:val="00FB5D2B"/>
    <w:rsid w:val="00FB73BD"/>
    <w:rsid w:val="00FB7CCB"/>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4C405A-F698-45F0-8E04-A3BB70FD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3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A561F"/>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x.edu/archives/pagesmith/34" TargetMode="Externa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ctx.edu/ie/index.php?module=article&amp;id=103" TargetMode="External"/><Relationship Id="rId7" Type="http://schemas.openxmlformats.org/officeDocument/2006/relationships/hyperlink" Target="mailto:kmw@actx.edu" TargetMode="External"/><Relationship Id="rId12" Type="http://schemas.openxmlformats.org/officeDocument/2006/relationships/package" Target="embeddings/Microsoft_Excel_Worksheet1.xlsx"/><Relationship Id="rId17" Type="http://schemas.openxmlformats.org/officeDocument/2006/relationships/hyperlink" Target="https://www.actx.edu/ie/filecabinet/49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ctx.edu/courseproposal/" TargetMode="External"/><Relationship Id="rId20" Type="http://schemas.openxmlformats.org/officeDocument/2006/relationships/hyperlink" Target="http://www.actx.edu/iea/filecabinet/4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https://www.actx.edu/ie/pagesmith/4"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actx.edu/ie/index.php?module=article&amp;id=61" TargetMode="External"/><Relationship Id="rId10" Type="http://schemas.openxmlformats.org/officeDocument/2006/relationships/hyperlink" Target="https://www.actx.edu/ie/filecabinet/541" TargetMode="External"/><Relationship Id="rId19" Type="http://schemas.openxmlformats.org/officeDocument/2006/relationships/hyperlink" Target="https://www.actx.edu/archives/pagesmith/41" TargetMode="External"/><Relationship Id="rId4" Type="http://schemas.openxmlformats.org/officeDocument/2006/relationships/webSettings" Target="webSettings.xml"/><Relationship Id="rId9" Type="http://schemas.openxmlformats.org/officeDocument/2006/relationships/hyperlink" Target="https://www.actx.edu/ie/pagesmith/21" TargetMode="External"/><Relationship Id="rId14" Type="http://schemas.openxmlformats.org/officeDocument/2006/relationships/package" Target="embeddings/Microsoft_Word_Document2.docx"/><Relationship Id="rId22" Type="http://schemas.openxmlformats.org/officeDocument/2006/relationships/hyperlink" Target="http://www.actx.edu/ie/index.php?module=article&amp;id=108"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12</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367</cp:revision>
  <cp:lastPrinted>2013-07-15T14:12:00Z</cp:lastPrinted>
  <dcterms:created xsi:type="dcterms:W3CDTF">2013-05-07T14:47:00Z</dcterms:created>
  <dcterms:modified xsi:type="dcterms:W3CDTF">2016-06-27T01:18:00Z</dcterms:modified>
</cp:coreProperties>
</file>