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8F" w:rsidRDefault="00BE308F" w:rsidP="00BE308F">
      <w:pPr>
        <w:jc w:val="left"/>
        <w:rPr>
          <w:spacing w:val="-3"/>
        </w:rPr>
      </w:pPr>
      <w:r>
        <w:rPr>
          <w:spacing w:val="-3"/>
        </w:rPr>
        <w:t>Greetings!</w:t>
      </w:r>
    </w:p>
    <w:p w:rsidR="00BE308F" w:rsidRDefault="00BE308F" w:rsidP="00BE308F">
      <w:pPr>
        <w:jc w:val="left"/>
        <w:rPr>
          <w:spacing w:val="-3"/>
        </w:rPr>
      </w:pPr>
    </w:p>
    <w:p w:rsidR="00BE308F" w:rsidRDefault="00BE308F" w:rsidP="00BE308F">
      <w:pPr>
        <w:jc w:val="left"/>
        <w:rPr>
          <w:spacing w:val="-3"/>
        </w:rPr>
      </w:pPr>
      <w:r w:rsidRPr="000B3E77">
        <w:rPr>
          <w:spacing w:val="-3"/>
        </w:rPr>
        <w:t>Amarillo College annually assesses general education student learning outcomes</w:t>
      </w:r>
      <w:r w:rsidR="00B0681C">
        <w:rPr>
          <w:spacing w:val="-3"/>
        </w:rPr>
        <w:t>.</w:t>
      </w:r>
      <w:r w:rsidRPr="000B3E77">
        <w:rPr>
          <w:spacing w:val="-3"/>
        </w:rPr>
        <w:t xml:space="preserve"> </w:t>
      </w:r>
    </w:p>
    <w:p w:rsidR="000D37A3" w:rsidRDefault="000D37A3" w:rsidP="00BE308F">
      <w:pPr>
        <w:jc w:val="left"/>
        <w:rPr>
          <w:spacing w:val="-3"/>
        </w:rPr>
      </w:pPr>
    </w:p>
    <w:p w:rsidR="000D37A3" w:rsidRDefault="000D37A3" w:rsidP="00BE308F">
      <w:pPr>
        <w:jc w:val="left"/>
        <w:rPr>
          <w:spacing w:val="-3"/>
        </w:rPr>
      </w:pPr>
      <w:r>
        <w:rPr>
          <w:spacing w:val="-3"/>
        </w:rPr>
        <w:t xml:space="preserve">This semester, the following courses have been identified as </w:t>
      </w:r>
      <w:r w:rsidR="00B0681C">
        <w:rPr>
          <w:spacing w:val="-3"/>
        </w:rPr>
        <w:t>eligible</w:t>
      </w:r>
      <w:r>
        <w:rPr>
          <w:spacing w:val="-3"/>
        </w:rPr>
        <w:t xml:space="preserve"> for assessment: </w:t>
      </w:r>
    </w:p>
    <w:p w:rsidR="00836702" w:rsidRDefault="00836702" w:rsidP="00BE308F">
      <w:pPr>
        <w:jc w:val="left"/>
        <w:rPr>
          <w:b/>
          <w:spacing w:val="-3"/>
          <w:highlight w:val="yellow"/>
        </w:rPr>
      </w:pPr>
      <w:r>
        <w:rPr>
          <w:b/>
          <w:spacing w:val="-3"/>
          <w:highlight w:val="yellow"/>
        </w:rPr>
        <w:t>INSTRUCTOR:  Insert Instructor Name</w:t>
      </w:r>
    </w:p>
    <w:p w:rsidR="000D37A3" w:rsidRDefault="000D37A3" w:rsidP="00BE308F">
      <w:pPr>
        <w:jc w:val="left"/>
        <w:rPr>
          <w:b/>
          <w:spacing w:val="-3"/>
        </w:rPr>
      </w:pPr>
      <w:r w:rsidRPr="00836702">
        <w:rPr>
          <w:b/>
          <w:spacing w:val="-3"/>
          <w:highlight w:val="yellow"/>
        </w:rPr>
        <w:t>COURSES</w:t>
      </w:r>
      <w:r w:rsidR="00836702" w:rsidRPr="00836702">
        <w:rPr>
          <w:b/>
          <w:spacing w:val="-3"/>
          <w:highlight w:val="yellow"/>
        </w:rPr>
        <w:t>: Insert Course Name</w:t>
      </w:r>
    </w:p>
    <w:p w:rsidR="000D37A3" w:rsidRDefault="000D37A3" w:rsidP="00BE308F">
      <w:pPr>
        <w:jc w:val="left"/>
        <w:rPr>
          <w:b/>
          <w:spacing w:val="-3"/>
        </w:rPr>
      </w:pPr>
    </w:p>
    <w:p w:rsidR="00B0681C" w:rsidRDefault="000D37A3" w:rsidP="00BE308F">
      <w:pPr>
        <w:jc w:val="left"/>
        <w:rPr>
          <w:spacing w:val="-3"/>
        </w:rPr>
      </w:pPr>
      <w:r>
        <w:rPr>
          <w:spacing w:val="-3"/>
        </w:rPr>
        <w:t xml:space="preserve">Please complete the </w:t>
      </w:r>
      <w:hyperlink r:id="rId6" w:history="1">
        <w:r w:rsidRPr="000B3E77">
          <w:rPr>
            <w:rStyle w:val="Hyperlink"/>
            <w:b/>
            <w:spacing w:val="-3"/>
          </w:rPr>
          <w:t>General Education Response Form</w:t>
        </w:r>
      </w:hyperlink>
      <w:r>
        <w:rPr>
          <w:rStyle w:val="Hyperlink"/>
          <w:b/>
          <w:spacing w:val="-3"/>
        </w:rPr>
        <w:t xml:space="preserve"> </w:t>
      </w:r>
      <w:r>
        <w:rPr>
          <w:spacing w:val="-3"/>
        </w:rPr>
        <w:t xml:space="preserve"> </w:t>
      </w:r>
      <w:r w:rsidR="00D930F0">
        <w:rPr>
          <w:spacing w:val="-3"/>
        </w:rPr>
        <w:t>that will</w:t>
      </w:r>
      <w:r>
        <w:rPr>
          <w:spacing w:val="-3"/>
        </w:rPr>
        <w:t xml:space="preserve"> direct the assessment’s coordinator on how to</w:t>
      </w:r>
      <w:r w:rsidR="00B0681C">
        <w:rPr>
          <w:spacing w:val="-3"/>
        </w:rPr>
        <w:t xml:space="preserve"> access</w:t>
      </w:r>
      <w:r>
        <w:rPr>
          <w:spacing w:val="-3"/>
        </w:rPr>
        <w:t xml:space="preserve"> </w:t>
      </w:r>
      <w:r w:rsidR="00B0681C">
        <w:rPr>
          <w:spacing w:val="-3"/>
        </w:rPr>
        <w:t>the following for one or more of the above courses:</w:t>
      </w:r>
    </w:p>
    <w:p w:rsidR="00B0681C" w:rsidRDefault="00B0681C" w:rsidP="00B0681C">
      <w:pPr>
        <w:pStyle w:val="ListParagraph"/>
        <w:numPr>
          <w:ilvl w:val="0"/>
          <w:numId w:val="2"/>
        </w:numPr>
        <w:jc w:val="left"/>
        <w:rPr>
          <w:spacing w:val="-3"/>
        </w:rPr>
      </w:pPr>
      <w:r>
        <w:rPr>
          <w:spacing w:val="-3"/>
        </w:rPr>
        <w:t>Assignment instructions</w:t>
      </w:r>
    </w:p>
    <w:p w:rsidR="0001196E" w:rsidRDefault="00B0681C" w:rsidP="00B0681C">
      <w:pPr>
        <w:pStyle w:val="ListParagraph"/>
        <w:numPr>
          <w:ilvl w:val="0"/>
          <w:numId w:val="2"/>
        </w:numPr>
        <w:jc w:val="left"/>
        <w:rPr>
          <w:spacing w:val="-3"/>
        </w:rPr>
      </w:pPr>
      <w:r>
        <w:rPr>
          <w:spacing w:val="-3"/>
        </w:rPr>
        <w:t>S</w:t>
      </w:r>
      <w:r w:rsidR="000D37A3" w:rsidRPr="00B0681C">
        <w:rPr>
          <w:spacing w:val="-3"/>
        </w:rPr>
        <w:t xml:space="preserve">tudent work </w:t>
      </w:r>
    </w:p>
    <w:p w:rsidR="00B0681C" w:rsidRDefault="0001196E" w:rsidP="0001196E">
      <w:pPr>
        <w:pStyle w:val="ListParagraph"/>
        <w:numPr>
          <w:ilvl w:val="1"/>
          <w:numId w:val="2"/>
        </w:numPr>
        <w:jc w:val="left"/>
        <w:rPr>
          <w:spacing w:val="-3"/>
        </w:rPr>
      </w:pPr>
      <w:r>
        <w:rPr>
          <w:spacing w:val="-3"/>
        </w:rPr>
        <w:t>P</w:t>
      </w:r>
      <w:r w:rsidR="000D37A3" w:rsidRPr="00B0681C">
        <w:rPr>
          <w:spacing w:val="-3"/>
        </w:rPr>
        <w:t>referably ungraded</w:t>
      </w:r>
      <w:r w:rsidR="000847E1">
        <w:rPr>
          <w:spacing w:val="-3"/>
        </w:rPr>
        <w:t xml:space="preserve">, but </w:t>
      </w:r>
      <w:r>
        <w:rPr>
          <w:spacing w:val="-3"/>
        </w:rPr>
        <w:t>work that is already graded can be accepted</w:t>
      </w:r>
    </w:p>
    <w:p w:rsidR="0001196E" w:rsidRDefault="0001196E" w:rsidP="0001196E">
      <w:pPr>
        <w:pStyle w:val="ListParagraph"/>
        <w:numPr>
          <w:ilvl w:val="1"/>
          <w:numId w:val="2"/>
        </w:numPr>
        <w:jc w:val="left"/>
        <w:rPr>
          <w:spacing w:val="-3"/>
        </w:rPr>
      </w:pPr>
      <w:r>
        <w:rPr>
          <w:spacing w:val="-3"/>
        </w:rPr>
        <w:t xml:space="preserve">Fully intact (personal identifiers will be removed </w:t>
      </w:r>
      <w:r>
        <w:rPr>
          <w:spacing w:val="-3"/>
          <w:u w:val="single"/>
        </w:rPr>
        <w:t>after</w:t>
      </w:r>
      <w:r>
        <w:rPr>
          <w:spacing w:val="-3"/>
        </w:rPr>
        <w:t xml:space="preserve"> the students have been sorted)</w:t>
      </w:r>
    </w:p>
    <w:p w:rsidR="000D37A3" w:rsidRPr="00B0681C" w:rsidRDefault="00B0681C" w:rsidP="00B0681C">
      <w:pPr>
        <w:pStyle w:val="ListParagraph"/>
        <w:numPr>
          <w:ilvl w:val="0"/>
          <w:numId w:val="2"/>
        </w:numPr>
        <w:jc w:val="left"/>
        <w:rPr>
          <w:spacing w:val="-3"/>
        </w:rPr>
      </w:pPr>
      <w:r>
        <w:rPr>
          <w:spacing w:val="-3"/>
        </w:rPr>
        <w:t>A</w:t>
      </w:r>
      <w:r w:rsidR="000D37A3" w:rsidRPr="00B0681C">
        <w:rPr>
          <w:spacing w:val="-3"/>
        </w:rPr>
        <w:t xml:space="preserve"> key </w:t>
      </w:r>
      <w:r>
        <w:rPr>
          <w:spacing w:val="-3"/>
        </w:rPr>
        <w:t xml:space="preserve">or supplemental materials </w:t>
      </w:r>
      <w:r w:rsidR="000D37A3" w:rsidRPr="00B0681C">
        <w:rPr>
          <w:spacing w:val="-3"/>
        </w:rPr>
        <w:t xml:space="preserve">(if applicable) </w:t>
      </w:r>
    </w:p>
    <w:p w:rsidR="000D37A3" w:rsidRDefault="000D37A3" w:rsidP="00BE308F">
      <w:pPr>
        <w:jc w:val="left"/>
        <w:rPr>
          <w:spacing w:val="-3"/>
        </w:rPr>
      </w:pPr>
    </w:p>
    <w:p w:rsidR="000D37A3" w:rsidRDefault="00B0681C" w:rsidP="00BE308F">
      <w:pPr>
        <w:jc w:val="left"/>
        <w:rPr>
          <w:spacing w:val="-3"/>
        </w:rPr>
      </w:pPr>
      <w:r>
        <w:rPr>
          <w:spacing w:val="-3"/>
        </w:rPr>
        <w:t xml:space="preserve">If your course is in the core curriculum, you can view the THECB’s required core objectives for your course/s in the THECB’s </w:t>
      </w:r>
      <w:hyperlink r:id="rId7" w:history="1">
        <w:r w:rsidRPr="00B0681C">
          <w:rPr>
            <w:rStyle w:val="Hyperlink"/>
            <w:spacing w:val="-3"/>
          </w:rPr>
          <w:t>Quick Reference guide</w:t>
        </w:r>
      </w:hyperlink>
      <w:r>
        <w:rPr>
          <w:spacing w:val="-3"/>
        </w:rPr>
        <w:t>.  If your course is not in the core curriculum, please view the competency descriptions to see what coursework you can provide to support AC assessment efforts. You can view the competency descriptions for each core objective below.</w:t>
      </w:r>
    </w:p>
    <w:p w:rsidR="00B0681C" w:rsidRPr="000D37A3" w:rsidRDefault="00B0681C" w:rsidP="00BE308F">
      <w:pPr>
        <w:jc w:val="left"/>
        <w:rPr>
          <w:spacing w:val="-3"/>
        </w:rPr>
      </w:pPr>
    </w:p>
    <w:p w:rsidR="00B0681C" w:rsidRPr="00F25CB6" w:rsidRDefault="00B0681C" w:rsidP="00B0681C">
      <w:pPr>
        <w:jc w:val="left"/>
        <w:rPr>
          <w:b/>
          <w:spacing w:val="-3"/>
          <w:u w:val="single"/>
        </w:rPr>
      </w:pPr>
      <w:r>
        <w:rPr>
          <w:b/>
          <w:spacing w:val="-3"/>
          <w:u w:val="single"/>
        </w:rPr>
        <w:t>COMPETENCY DESCRIPTIONS AND LINKS</w:t>
      </w:r>
    </w:p>
    <w:p w:rsidR="00B0681C" w:rsidRPr="000B3E77" w:rsidRDefault="00B0681C" w:rsidP="00B0681C">
      <w:pPr>
        <w:pStyle w:val="ListParagraph"/>
        <w:numPr>
          <w:ilvl w:val="0"/>
          <w:numId w:val="1"/>
        </w:numPr>
        <w:jc w:val="left"/>
        <w:rPr>
          <w:b/>
          <w:spacing w:val="-3"/>
        </w:rPr>
      </w:pPr>
      <w:r w:rsidRPr="000B3E77">
        <w:rPr>
          <w:b/>
          <w:spacing w:val="-3"/>
        </w:rPr>
        <w:t>Critical Thinking Skills</w:t>
      </w:r>
      <w:r>
        <w:rPr>
          <w:b/>
          <w:spacing w:val="-3"/>
        </w:rPr>
        <w:t xml:space="preserve"> (CT)</w:t>
      </w:r>
      <w:r w:rsidRPr="000B3E77">
        <w:rPr>
          <w:b/>
          <w:spacing w:val="-3"/>
        </w:rPr>
        <w:t>:</w:t>
      </w:r>
    </w:p>
    <w:p w:rsidR="00B0681C" w:rsidRPr="00B0681C" w:rsidRDefault="00B0681C" w:rsidP="00B0681C">
      <w:pPr>
        <w:pStyle w:val="ListParagraph"/>
        <w:jc w:val="left"/>
        <w:rPr>
          <w:spacing w:val="-3"/>
        </w:rPr>
      </w:pPr>
      <w:r w:rsidRPr="000B3E77">
        <w:rPr>
          <w:iCs/>
          <w:color w:val="000000"/>
        </w:rPr>
        <w:t xml:space="preserve"> Students will engage in creative and/or innovative thinking, inquiring analysis, evaluation, synthesis of information, organizing concepts, and constructing solutions</w:t>
      </w:r>
      <w:r w:rsidRPr="000B3E77">
        <w:rPr>
          <w:rFonts w:ascii="Arial" w:hAnsi="Arial" w:cs="Arial"/>
        </w:rPr>
        <w:t>.</w:t>
      </w:r>
    </w:p>
    <w:p w:rsidR="00B0681C" w:rsidRPr="000B3E77" w:rsidRDefault="00B0681C" w:rsidP="00B0681C">
      <w:pPr>
        <w:pStyle w:val="ListParagraph"/>
        <w:numPr>
          <w:ilvl w:val="0"/>
          <w:numId w:val="1"/>
        </w:numPr>
        <w:autoSpaceDE w:val="0"/>
        <w:autoSpaceDN w:val="0"/>
        <w:adjustRightInd w:val="0"/>
        <w:jc w:val="left"/>
        <w:rPr>
          <w:b/>
          <w:iCs/>
          <w:color w:val="000000"/>
        </w:rPr>
      </w:pPr>
      <w:r w:rsidRPr="000B3E77">
        <w:rPr>
          <w:b/>
          <w:spacing w:val="-3"/>
        </w:rPr>
        <w:t>Communication Skills</w:t>
      </w:r>
      <w:r>
        <w:rPr>
          <w:b/>
          <w:spacing w:val="-3"/>
        </w:rPr>
        <w:t xml:space="preserve"> (COM)</w:t>
      </w:r>
      <w:r w:rsidRPr="000B3E77">
        <w:rPr>
          <w:b/>
          <w:spacing w:val="-3"/>
        </w:rPr>
        <w:t xml:space="preserve">: </w:t>
      </w:r>
    </w:p>
    <w:p w:rsidR="00B0681C" w:rsidRPr="000B3E77" w:rsidRDefault="00B0681C" w:rsidP="00B0681C">
      <w:pPr>
        <w:pStyle w:val="ListParagraph"/>
        <w:autoSpaceDE w:val="0"/>
        <w:autoSpaceDN w:val="0"/>
        <w:adjustRightInd w:val="0"/>
        <w:jc w:val="left"/>
        <w:rPr>
          <w:iCs/>
          <w:color w:val="000000"/>
        </w:rPr>
      </w:pPr>
      <w:r w:rsidRPr="000B3E77">
        <w:rPr>
          <w:iCs/>
          <w:color w:val="000000"/>
        </w:rPr>
        <w:t>Students will demonstrate effective written, oral, and visual communication.</w:t>
      </w:r>
    </w:p>
    <w:p w:rsidR="00B0681C" w:rsidRPr="000B3E77" w:rsidRDefault="00B0681C" w:rsidP="00B0681C">
      <w:pPr>
        <w:pStyle w:val="ListParagraph"/>
        <w:numPr>
          <w:ilvl w:val="0"/>
          <w:numId w:val="1"/>
        </w:numPr>
        <w:jc w:val="left"/>
        <w:rPr>
          <w:b/>
          <w:spacing w:val="-3"/>
        </w:rPr>
      </w:pPr>
      <w:r w:rsidRPr="000B3E77">
        <w:rPr>
          <w:b/>
          <w:spacing w:val="-3"/>
        </w:rPr>
        <w:t>Empirical and Quantitative Skills</w:t>
      </w:r>
      <w:r>
        <w:rPr>
          <w:b/>
          <w:spacing w:val="-3"/>
        </w:rPr>
        <w:t xml:space="preserve"> (EQS)</w:t>
      </w:r>
      <w:r w:rsidRPr="000B3E77">
        <w:rPr>
          <w:b/>
          <w:spacing w:val="-3"/>
        </w:rPr>
        <w:t>:</w:t>
      </w:r>
    </w:p>
    <w:p w:rsidR="00B0681C" w:rsidRPr="000B3E77" w:rsidRDefault="00B0681C" w:rsidP="00B0681C">
      <w:pPr>
        <w:pStyle w:val="ListParagraph"/>
        <w:jc w:val="left"/>
        <w:rPr>
          <w:spacing w:val="-3"/>
        </w:rPr>
      </w:pPr>
      <w:r w:rsidRPr="000B3E77">
        <w:rPr>
          <w:iCs/>
          <w:color w:val="000000"/>
        </w:rPr>
        <w:t>Students will demonstrate the ability to formulate an inquiry that is scientific or mathematical in nature, and then identify and follow an investigative process using empirical and/or quantitative reasoning to satisfy the inquiry.</w:t>
      </w:r>
    </w:p>
    <w:p w:rsidR="00B0681C" w:rsidRPr="000B3E77" w:rsidRDefault="00B0681C" w:rsidP="00B0681C">
      <w:pPr>
        <w:pStyle w:val="ListParagraph"/>
        <w:numPr>
          <w:ilvl w:val="0"/>
          <w:numId w:val="1"/>
        </w:numPr>
        <w:jc w:val="left"/>
        <w:rPr>
          <w:b/>
          <w:spacing w:val="-3"/>
        </w:rPr>
      </w:pPr>
      <w:r w:rsidRPr="000B3E77">
        <w:rPr>
          <w:b/>
          <w:spacing w:val="-3"/>
        </w:rPr>
        <w:t>Teamwork</w:t>
      </w:r>
      <w:r>
        <w:rPr>
          <w:b/>
          <w:spacing w:val="-3"/>
        </w:rPr>
        <w:t xml:space="preserve"> (TW)</w:t>
      </w:r>
      <w:r w:rsidRPr="000B3E77">
        <w:rPr>
          <w:b/>
          <w:spacing w:val="-3"/>
        </w:rPr>
        <w:t>:</w:t>
      </w:r>
      <w:r w:rsidRPr="000B3E77">
        <w:rPr>
          <w:b/>
          <w:iCs/>
          <w:color w:val="000000"/>
        </w:rPr>
        <w:t xml:space="preserve"> </w:t>
      </w:r>
    </w:p>
    <w:p w:rsidR="000847E1" w:rsidRDefault="00B0681C" w:rsidP="00B0681C">
      <w:pPr>
        <w:pStyle w:val="ListParagraph"/>
        <w:jc w:val="left"/>
        <w:rPr>
          <w:iCs/>
          <w:color w:val="000000"/>
        </w:rPr>
      </w:pPr>
      <w:r w:rsidRPr="000B3E77">
        <w:rPr>
          <w:iCs/>
          <w:color w:val="000000"/>
        </w:rPr>
        <w:t xml:space="preserve">Students will demonstrate the ability to work effectively with others to support a shared purpose or goal and consider different points of view. </w:t>
      </w:r>
    </w:p>
    <w:p w:rsidR="00B0681C" w:rsidRPr="000847E1" w:rsidRDefault="00B0681C" w:rsidP="000847E1">
      <w:pPr>
        <w:pStyle w:val="ListParagraph"/>
        <w:ind w:left="1440"/>
        <w:jc w:val="left"/>
        <w:rPr>
          <w:color w:val="FF0000"/>
          <w:spacing w:val="-3"/>
          <w:sz w:val="20"/>
          <w:szCs w:val="20"/>
        </w:rPr>
      </w:pPr>
      <w:r w:rsidRPr="000847E1">
        <w:rPr>
          <w:iCs/>
          <w:color w:val="FF0000"/>
          <w:sz w:val="20"/>
          <w:szCs w:val="20"/>
        </w:rPr>
        <w:t xml:space="preserve">For Teamwork, the AC-developed </w:t>
      </w:r>
      <w:hyperlink r:id="rId8" w:history="1">
        <w:r w:rsidRPr="000847E1">
          <w:rPr>
            <w:rStyle w:val="Hyperlink"/>
            <w:iCs/>
            <w:sz w:val="20"/>
            <w:szCs w:val="20"/>
          </w:rPr>
          <w:t>“Team Member Critique Sheet”</w:t>
        </w:r>
      </w:hyperlink>
      <w:r w:rsidRPr="000847E1">
        <w:rPr>
          <w:iCs/>
          <w:color w:val="FF0000"/>
          <w:sz w:val="20"/>
          <w:szCs w:val="20"/>
        </w:rPr>
        <w:t xml:space="preserve"> (evaluated by </w:t>
      </w:r>
      <w:r w:rsidR="000847E1" w:rsidRPr="000847E1">
        <w:rPr>
          <w:iCs/>
          <w:color w:val="FF0000"/>
          <w:sz w:val="20"/>
          <w:szCs w:val="20"/>
        </w:rPr>
        <w:t>all students within a group</w:t>
      </w:r>
      <w:r w:rsidRPr="000847E1">
        <w:rPr>
          <w:iCs/>
          <w:color w:val="FF0000"/>
          <w:sz w:val="20"/>
          <w:szCs w:val="20"/>
        </w:rPr>
        <w:t xml:space="preserve"> or </w:t>
      </w:r>
      <w:r w:rsidR="000847E1" w:rsidRPr="000847E1">
        <w:rPr>
          <w:iCs/>
          <w:color w:val="FF0000"/>
          <w:sz w:val="20"/>
          <w:szCs w:val="20"/>
        </w:rPr>
        <w:t xml:space="preserve">by </w:t>
      </w:r>
      <w:r w:rsidRPr="000847E1">
        <w:rPr>
          <w:iCs/>
          <w:color w:val="FF0000"/>
          <w:sz w:val="20"/>
          <w:szCs w:val="20"/>
        </w:rPr>
        <w:t>faculty</w:t>
      </w:r>
      <w:r w:rsidR="000847E1" w:rsidRPr="000847E1">
        <w:rPr>
          <w:iCs/>
          <w:color w:val="FF0000"/>
          <w:sz w:val="20"/>
          <w:szCs w:val="20"/>
        </w:rPr>
        <w:t xml:space="preserve"> for students within a group</w:t>
      </w:r>
      <w:r w:rsidRPr="000847E1">
        <w:rPr>
          <w:iCs/>
          <w:color w:val="FF0000"/>
          <w:sz w:val="20"/>
          <w:szCs w:val="20"/>
        </w:rPr>
        <w:t>) can serve as an artifact</w:t>
      </w:r>
      <w:r w:rsidR="00653CE5">
        <w:rPr>
          <w:iCs/>
          <w:color w:val="FF0000"/>
          <w:sz w:val="20"/>
          <w:szCs w:val="20"/>
        </w:rPr>
        <w:t xml:space="preserve"> (student work)</w:t>
      </w:r>
      <w:r w:rsidRPr="000847E1">
        <w:rPr>
          <w:iCs/>
          <w:color w:val="FF0000"/>
          <w:sz w:val="20"/>
          <w:szCs w:val="20"/>
        </w:rPr>
        <w:t>.</w:t>
      </w:r>
      <w:r w:rsidR="000847E1" w:rsidRPr="000847E1">
        <w:rPr>
          <w:iCs/>
          <w:color w:val="FF0000"/>
          <w:sz w:val="20"/>
          <w:szCs w:val="20"/>
        </w:rPr>
        <w:t xml:space="preserve"> However, other teamwork artifacts that meet the definition will also be considered.</w:t>
      </w:r>
    </w:p>
    <w:p w:rsidR="00B0681C" w:rsidRPr="000B3E77" w:rsidRDefault="00B0681C" w:rsidP="00B0681C">
      <w:pPr>
        <w:pStyle w:val="ListParagraph"/>
        <w:numPr>
          <w:ilvl w:val="0"/>
          <w:numId w:val="1"/>
        </w:numPr>
        <w:jc w:val="left"/>
        <w:rPr>
          <w:b/>
          <w:spacing w:val="-3"/>
        </w:rPr>
      </w:pPr>
      <w:r w:rsidRPr="000B3E77">
        <w:rPr>
          <w:b/>
          <w:spacing w:val="-3"/>
        </w:rPr>
        <w:t>Social Responsibility</w:t>
      </w:r>
      <w:r>
        <w:rPr>
          <w:b/>
          <w:spacing w:val="-3"/>
        </w:rPr>
        <w:t xml:space="preserve"> (SR)</w:t>
      </w:r>
      <w:r w:rsidRPr="000B3E77">
        <w:rPr>
          <w:b/>
          <w:spacing w:val="-3"/>
        </w:rPr>
        <w:t>:</w:t>
      </w:r>
      <w:r w:rsidRPr="000B3E77">
        <w:rPr>
          <w:b/>
          <w:iCs/>
          <w:color w:val="000000"/>
        </w:rPr>
        <w:t xml:space="preserve"> </w:t>
      </w:r>
    </w:p>
    <w:p w:rsidR="00B0681C" w:rsidRPr="000B3E77" w:rsidRDefault="00B0681C" w:rsidP="00B0681C">
      <w:pPr>
        <w:pStyle w:val="ListParagraph"/>
        <w:jc w:val="left"/>
        <w:rPr>
          <w:spacing w:val="-3"/>
        </w:rPr>
      </w:pPr>
      <w:r w:rsidRPr="000B3E77">
        <w:rPr>
          <w:iCs/>
          <w:color w:val="000000"/>
        </w:rPr>
        <w:t>Students will demonstrate intercultural competency and civic knowledge by engaging effectively in local, regional, national and global communities.</w:t>
      </w:r>
    </w:p>
    <w:p w:rsidR="00B0681C" w:rsidRPr="000B3E77" w:rsidRDefault="00B0681C" w:rsidP="00B0681C">
      <w:pPr>
        <w:pStyle w:val="ListParagraph"/>
        <w:numPr>
          <w:ilvl w:val="0"/>
          <w:numId w:val="1"/>
        </w:numPr>
        <w:jc w:val="left"/>
        <w:rPr>
          <w:b/>
          <w:spacing w:val="-3"/>
        </w:rPr>
      </w:pPr>
      <w:r w:rsidRPr="000B3E77">
        <w:rPr>
          <w:b/>
          <w:spacing w:val="-3"/>
        </w:rPr>
        <w:t>Personal Responsibility</w:t>
      </w:r>
      <w:r>
        <w:rPr>
          <w:b/>
          <w:spacing w:val="-3"/>
        </w:rPr>
        <w:t xml:space="preserve"> (PR)</w:t>
      </w:r>
      <w:r w:rsidRPr="000B3E77">
        <w:rPr>
          <w:b/>
          <w:spacing w:val="-3"/>
        </w:rPr>
        <w:t xml:space="preserve">: </w:t>
      </w:r>
    </w:p>
    <w:p w:rsidR="00B0681C" w:rsidRDefault="00B0681C" w:rsidP="00B0681C">
      <w:pPr>
        <w:pStyle w:val="ListParagraph"/>
        <w:jc w:val="left"/>
        <w:rPr>
          <w:iCs/>
          <w:color w:val="000000"/>
        </w:rPr>
      </w:pPr>
      <w:r w:rsidRPr="00CE4ED5">
        <w:rPr>
          <w:iCs/>
          <w:color w:val="000000"/>
        </w:rPr>
        <w:t>Students will demonstrate the ability to connect choices, actions and consequences to ethical decision-making.</w:t>
      </w:r>
    </w:p>
    <w:p w:rsidR="000977B5" w:rsidRDefault="000977B5"/>
    <w:p w:rsidR="000D37A3" w:rsidRDefault="000D37A3">
      <w:pPr>
        <w:rPr>
          <w:spacing w:val="-3"/>
        </w:rPr>
      </w:pPr>
    </w:p>
    <w:p w:rsidR="008304B3" w:rsidRDefault="000D37A3" w:rsidP="008304B3">
      <w:pPr>
        <w:jc w:val="left"/>
        <w:rPr>
          <w:spacing w:val="-3"/>
        </w:rPr>
      </w:pPr>
      <w:r w:rsidRPr="000B3E77">
        <w:rPr>
          <w:spacing w:val="-3"/>
        </w:rPr>
        <w:t xml:space="preserve">Any course assignments and artifacts you can provide that fulfill any of the </w:t>
      </w:r>
      <w:r w:rsidR="00254916">
        <w:rPr>
          <w:spacing w:val="-3"/>
        </w:rPr>
        <w:t xml:space="preserve">above </w:t>
      </w:r>
      <w:r w:rsidRPr="000B3E77">
        <w:rPr>
          <w:spacing w:val="-3"/>
        </w:rPr>
        <w:t>competencies will be very much appreciated.</w:t>
      </w:r>
      <w:r w:rsidR="008304B3">
        <w:rPr>
          <w:spacing w:val="-3"/>
        </w:rPr>
        <w:t xml:space="preserve"> Please join us as we assess student learning at Amarillo College. Your participation in outcomes assessment will help us better serve our students.</w:t>
      </w:r>
    </w:p>
    <w:p w:rsidR="008304B3" w:rsidRDefault="008304B3" w:rsidP="008304B3">
      <w:pPr>
        <w:jc w:val="left"/>
        <w:rPr>
          <w:spacing w:val="-3"/>
        </w:rPr>
      </w:pPr>
    </w:p>
    <w:p w:rsidR="008304B3" w:rsidRDefault="008304B3" w:rsidP="008304B3">
      <w:pPr>
        <w:jc w:val="left"/>
        <w:rPr>
          <w:spacing w:val="-3"/>
        </w:rPr>
      </w:pPr>
      <w:r>
        <w:rPr>
          <w:spacing w:val="-3"/>
        </w:rPr>
        <w:t>Sincerely,</w:t>
      </w:r>
    </w:p>
    <w:p w:rsidR="008304B3" w:rsidRDefault="008304B3" w:rsidP="008304B3">
      <w:pPr>
        <w:jc w:val="left"/>
        <w:rPr>
          <w:spacing w:val="-3"/>
        </w:rPr>
      </w:pPr>
    </w:p>
    <w:p w:rsidR="008304B3" w:rsidRDefault="008304B3" w:rsidP="008304B3">
      <w:pPr>
        <w:jc w:val="left"/>
        <w:rPr>
          <w:spacing w:val="-3"/>
        </w:rPr>
      </w:pPr>
    </w:p>
    <w:p w:rsidR="008304B3" w:rsidRDefault="008304B3" w:rsidP="008304B3">
      <w:pPr>
        <w:jc w:val="left"/>
      </w:pPr>
      <w:r w:rsidRPr="00976FF9">
        <w:t xml:space="preserve">Russell Lowery-Hart, Vice President for Academic Affairs </w:t>
      </w:r>
    </w:p>
    <w:p w:rsidR="008304B3" w:rsidRPr="00976FF9" w:rsidRDefault="008304B3" w:rsidP="008304B3">
      <w:pPr>
        <w:jc w:val="left"/>
      </w:pPr>
      <w:r>
        <w:t>Kristin McDonald-Willey, Assessments Coordinator</w:t>
      </w:r>
      <w:bookmarkStart w:id="0" w:name="_GoBack"/>
      <w:bookmarkEnd w:id="0"/>
    </w:p>
    <w:sectPr w:rsidR="008304B3" w:rsidRPr="00976FF9" w:rsidSect="008304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1528F"/>
    <w:multiLevelType w:val="hybridMultilevel"/>
    <w:tmpl w:val="4A4A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87975"/>
    <w:multiLevelType w:val="hybridMultilevel"/>
    <w:tmpl w:val="A78C4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8F"/>
    <w:rsid w:val="0001196E"/>
    <w:rsid w:val="000847E1"/>
    <w:rsid w:val="000977B5"/>
    <w:rsid w:val="000D37A3"/>
    <w:rsid w:val="00254916"/>
    <w:rsid w:val="00653CE5"/>
    <w:rsid w:val="008304B3"/>
    <w:rsid w:val="00836702"/>
    <w:rsid w:val="008E71AC"/>
    <w:rsid w:val="009E0D58"/>
    <w:rsid w:val="00B0681C"/>
    <w:rsid w:val="00BE308F"/>
    <w:rsid w:val="00D9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08F"/>
    <w:rPr>
      <w:color w:val="0000FF" w:themeColor="hyperlink"/>
      <w:u w:val="single"/>
    </w:rPr>
  </w:style>
  <w:style w:type="character" w:styleId="FollowedHyperlink">
    <w:name w:val="FollowedHyperlink"/>
    <w:basedOn w:val="DefaultParagraphFont"/>
    <w:uiPriority w:val="99"/>
    <w:semiHidden/>
    <w:unhideWhenUsed/>
    <w:rsid w:val="00BE308F"/>
    <w:rPr>
      <w:color w:val="800080" w:themeColor="followedHyperlink"/>
      <w:u w:val="single"/>
    </w:rPr>
  </w:style>
  <w:style w:type="paragraph" w:styleId="ListParagraph">
    <w:name w:val="List Paragraph"/>
    <w:basedOn w:val="Normal"/>
    <w:uiPriority w:val="34"/>
    <w:qFormat/>
    <w:rsid w:val="00B068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08F"/>
    <w:rPr>
      <w:color w:val="0000FF" w:themeColor="hyperlink"/>
      <w:u w:val="single"/>
    </w:rPr>
  </w:style>
  <w:style w:type="character" w:styleId="FollowedHyperlink">
    <w:name w:val="FollowedHyperlink"/>
    <w:basedOn w:val="DefaultParagraphFont"/>
    <w:uiPriority w:val="99"/>
    <w:semiHidden/>
    <w:unhideWhenUsed/>
    <w:rsid w:val="00BE308F"/>
    <w:rPr>
      <w:color w:val="800080" w:themeColor="followedHyperlink"/>
      <w:u w:val="single"/>
    </w:rPr>
  </w:style>
  <w:style w:type="paragraph" w:styleId="ListParagraph">
    <w:name w:val="List Paragraph"/>
    <w:basedOn w:val="Normal"/>
    <w:uiPriority w:val="34"/>
    <w:qFormat/>
    <w:rsid w:val="00B06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x.edu/iea/filecabinet/125" TargetMode="External"/><Relationship Id="rId3" Type="http://schemas.microsoft.com/office/2007/relationships/stylesWithEffects" Target="stylesWithEffects.xml"/><Relationship Id="rId7" Type="http://schemas.openxmlformats.org/officeDocument/2006/relationships/hyperlink" Target="http://www.thecb.state.tx.us/reports/DocFetch.cfm?DocID=2737&amp;Forma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tx.edu/iea/filecabinet/13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7</cp:revision>
  <dcterms:created xsi:type="dcterms:W3CDTF">2013-01-29T17:52:00Z</dcterms:created>
  <dcterms:modified xsi:type="dcterms:W3CDTF">2013-01-29T19:34:00Z</dcterms:modified>
</cp:coreProperties>
</file>