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45" w:rsidRPr="00D57470" w:rsidRDefault="002E6645" w:rsidP="002E6645">
      <w:pPr>
        <w:jc w:val="center"/>
        <w:rPr>
          <w:b/>
          <w:sz w:val="28"/>
        </w:rPr>
      </w:pPr>
      <w:r w:rsidRPr="00D57470">
        <w:rPr>
          <w:b/>
          <w:sz w:val="28"/>
        </w:rPr>
        <w:t xml:space="preserve">General Education Competencies </w:t>
      </w:r>
      <w:r w:rsidR="00724039" w:rsidRPr="00D57470">
        <w:rPr>
          <w:b/>
          <w:sz w:val="28"/>
        </w:rPr>
        <w:t xml:space="preserve">Assessment </w:t>
      </w:r>
      <w:proofErr w:type="gramStart"/>
      <w:r w:rsidR="00724039" w:rsidRPr="00D57470">
        <w:rPr>
          <w:b/>
          <w:sz w:val="28"/>
        </w:rPr>
        <w:t>Report</w:t>
      </w:r>
      <w:proofErr w:type="gramEnd"/>
      <w:r w:rsidRPr="00D57470">
        <w:rPr>
          <w:b/>
          <w:sz w:val="28"/>
        </w:rPr>
        <w:br/>
      </w:r>
      <w:r w:rsidR="00F00A2D" w:rsidRPr="00D57470">
        <w:rPr>
          <w:b/>
          <w:sz w:val="28"/>
        </w:rPr>
        <w:t>(</w:t>
      </w:r>
      <w:r w:rsidR="00085FC3">
        <w:rPr>
          <w:b/>
          <w:sz w:val="28"/>
        </w:rPr>
        <w:t>Spring</w:t>
      </w:r>
      <w:r w:rsidR="00F00A2D" w:rsidRPr="00D57470">
        <w:rPr>
          <w:b/>
          <w:sz w:val="28"/>
        </w:rPr>
        <w:t xml:space="preserve"> 2011 Report)</w:t>
      </w:r>
    </w:p>
    <w:p w:rsidR="008032D9" w:rsidRPr="00D57470" w:rsidRDefault="008032D9" w:rsidP="008032D9">
      <w:pPr>
        <w:spacing w:after="0"/>
        <w:rPr>
          <w:b/>
          <w:sz w:val="24"/>
          <w:szCs w:val="24"/>
          <w:u w:val="single"/>
        </w:rPr>
      </w:pPr>
      <w:bookmarkStart w:id="0" w:name="Topics_Covered"/>
      <w:r w:rsidRPr="00D57470">
        <w:rPr>
          <w:b/>
          <w:sz w:val="24"/>
          <w:szCs w:val="24"/>
          <w:u w:val="single"/>
        </w:rPr>
        <w:t>TOPICS COVERED:</w:t>
      </w:r>
    </w:p>
    <w:bookmarkEnd w:id="0"/>
    <w:p w:rsidR="008032D9" w:rsidRPr="008032D9" w:rsidRDefault="008032D9" w:rsidP="008032D9">
      <w:pPr>
        <w:pStyle w:val="ListParagraph"/>
        <w:numPr>
          <w:ilvl w:val="0"/>
          <w:numId w:val="13"/>
        </w:numPr>
        <w:spacing w:after="0"/>
        <w:rPr>
          <w:rStyle w:val="Hyperlink"/>
          <w:sz w:val="20"/>
          <w:szCs w:val="20"/>
        </w:rPr>
      </w:pPr>
      <w:r>
        <w:rPr>
          <w:sz w:val="20"/>
          <w:szCs w:val="20"/>
        </w:rPr>
        <w:fldChar w:fldCharType="begin"/>
      </w:r>
      <w:r>
        <w:rPr>
          <w:sz w:val="20"/>
          <w:szCs w:val="20"/>
        </w:rPr>
        <w:instrText xml:space="preserve"> HYPERLINK  \l "Background" </w:instrText>
      </w:r>
      <w:r>
        <w:rPr>
          <w:sz w:val="20"/>
          <w:szCs w:val="20"/>
        </w:rPr>
        <w:fldChar w:fldCharType="separate"/>
      </w:r>
      <w:r w:rsidRPr="008032D9">
        <w:rPr>
          <w:rStyle w:val="Hyperlink"/>
          <w:sz w:val="20"/>
          <w:szCs w:val="20"/>
        </w:rPr>
        <w:t>Background</w:t>
      </w:r>
    </w:p>
    <w:p w:rsidR="008032D9" w:rsidRDefault="008032D9" w:rsidP="008032D9">
      <w:pPr>
        <w:pStyle w:val="ListParagraph"/>
        <w:numPr>
          <w:ilvl w:val="0"/>
          <w:numId w:val="13"/>
        </w:numPr>
        <w:spacing w:after="0"/>
        <w:rPr>
          <w:sz w:val="20"/>
          <w:szCs w:val="20"/>
        </w:rPr>
      </w:pPr>
      <w:r>
        <w:rPr>
          <w:sz w:val="20"/>
          <w:szCs w:val="20"/>
        </w:rPr>
        <w:fldChar w:fldCharType="end"/>
      </w:r>
      <w:hyperlink w:anchor="Competencies_Assessed" w:history="1">
        <w:r w:rsidRPr="008032D9">
          <w:rPr>
            <w:rStyle w:val="Hyperlink"/>
            <w:sz w:val="20"/>
            <w:szCs w:val="20"/>
          </w:rPr>
          <w:t>2010-2011 Competencies Assessed</w:t>
        </w:r>
      </w:hyperlink>
    </w:p>
    <w:p w:rsidR="008032D9" w:rsidRDefault="006743E1" w:rsidP="008032D9">
      <w:pPr>
        <w:pStyle w:val="ListParagraph"/>
        <w:numPr>
          <w:ilvl w:val="0"/>
          <w:numId w:val="13"/>
        </w:numPr>
        <w:spacing w:after="0"/>
        <w:rPr>
          <w:sz w:val="20"/>
          <w:szCs w:val="20"/>
        </w:rPr>
      </w:pPr>
      <w:hyperlink w:anchor="Participation" w:history="1">
        <w:r w:rsidR="008032D9" w:rsidRPr="008032D9">
          <w:rPr>
            <w:rStyle w:val="Hyperlink"/>
            <w:sz w:val="20"/>
            <w:szCs w:val="20"/>
          </w:rPr>
          <w:t>Participation</w:t>
        </w:r>
      </w:hyperlink>
    </w:p>
    <w:p w:rsidR="008032D9" w:rsidRDefault="006743E1" w:rsidP="008032D9">
      <w:pPr>
        <w:pStyle w:val="ListParagraph"/>
        <w:numPr>
          <w:ilvl w:val="0"/>
          <w:numId w:val="13"/>
        </w:numPr>
        <w:spacing w:after="0"/>
        <w:rPr>
          <w:sz w:val="20"/>
          <w:szCs w:val="20"/>
        </w:rPr>
      </w:pPr>
      <w:hyperlink w:anchor="Communication" w:history="1">
        <w:r w:rsidR="00C175AE">
          <w:rPr>
            <w:rStyle w:val="Hyperlink"/>
            <w:sz w:val="20"/>
            <w:szCs w:val="20"/>
          </w:rPr>
          <w:t xml:space="preserve">Communication Competency </w:t>
        </w:r>
        <w:r w:rsidR="008032D9" w:rsidRPr="008032D9">
          <w:rPr>
            <w:rStyle w:val="Hyperlink"/>
            <w:sz w:val="20"/>
            <w:szCs w:val="20"/>
          </w:rPr>
          <w:t>Analysis</w:t>
        </w:r>
      </w:hyperlink>
    </w:p>
    <w:p w:rsidR="008032D9" w:rsidRDefault="006743E1" w:rsidP="008032D9">
      <w:pPr>
        <w:pStyle w:val="ListParagraph"/>
        <w:numPr>
          <w:ilvl w:val="0"/>
          <w:numId w:val="13"/>
        </w:numPr>
        <w:spacing w:after="0"/>
        <w:rPr>
          <w:sz w:val="20"/>
          <w:szCs w:val="20"/>
        </w:rPr>
      </w:pPr>
      <w:hyperlink w:anchor="Critical_Thinking" w:history="1">
        <w:r w:rsidR="008032D9" w:rsidRPr="008032D9">
          <w:rPr>
            <w:rStyle w:val="Hyperlink"/>
            <w:sz w:val="20"/>
            <w:szCs w:val="20"/>
          </w:rPr>
          <w:t xml:space="preserve">Critical Thinking </w:t>
        </w:r>
        <w:r w:rsidR="00C175AE">
          <w:rPr>
            <w:rStyle w:val="Hyperlink"/>
            <w:sz w:val="20"/>
            <w:szCs w:val="20"/>
          </w:rPr>
          <w:t xml:space="preserve">Competency </w:t>
        </w:r>
        <w:r w:rsidR="008032D9" w:rsidRPr="008032D9">
          <w:rPr>
            <w:rStyle w:val="Hyperlink"/>
            <w:sz w:val="20"/>
            <w:szCs w:val="20"/>
          </w:rPr>
          <w:t>Analysis</w:t>
        </w:r>
      </w:hyperlink>
    </w:p>
    <w:p w:rsidR="008032D9" w:rsidRDefault="006743E1" w:rsidP="008032D9">
      <w:pPr>
        <w:pStyle w:val="ListParagraph"/>
        <w:numPr>
          <w:ilvl w:val="0"/>
          <w:numId w:val="13"/>
        </w:numPr>
        <w:spacing w:after="0"/>
        <w:rPr>
          <w:sz w:val="20"/>
          <w:szCs w:val="20"/>
        </w:rPr>
      </w:pPr>
      <w:hyperlink w:anchor="Mathematics" w:history="1">
        <w:r w:rsidR="008032D9" w:rsidRPr="008032D9">
          <w:rPr>
            <w:rStyle w:val="Hyperlink"/>
            <w:sz w:val="20"/>
            <w:szCs w:val="20"/>
          </w:rPr>
          <w:t>Mathematics</w:t>
        </w:r>
        <w:r w:rsidR="00C175AE">
          <w:rPr>
            <w:rStyle w:val="Hyperlink"/>
            <w:sz w:val="20"/>
            <w:szCs w:val="20"/>
          </w:rPr>
          <w:t xml:space="preserve"> Competency</w:t>
        </w:r>
        <w:r w:rsidR="008032D9" w:rsidRPr="008032D9">
          <w:rPr>
            <w:rStyle w:val="Hyperlink"/>
            <w:sz w:val="20"/>
            <w:szCs w:val="20"/>
          </w:rPr>
          <w:t xml:space="preserve"> Analysis</w:t>
        </w:r>
      </w:hyperlink>
    </w:p>
    <w:p w:rsidR="008032D9" w:rsidRDefault="006743E1" w:rsidP="008032D9">
      <w:pPr>
        <w:pStyle w:val="ListParagraph"/>
        <w:numPr>
          <w:ilvl w:val="0"/>
          <w:numId w:val="13"/>
        </w:numPr>
        <w:spacing w:after="0"/>
        <w:rPr>
          <w:sz w:val="20"/>
          <w:szCs w:val="20"/>
        </w:rPr>
      </w:pPr>
      <w:hyperlink w:anchor="Future" w:history="1">
        <w:r w:rsidR="008032D9" w:rsidRPr="008032D9">
          <w:rPr>
            <w:rStyle w:val="Hyperlink"/>
            <w:sz w:val="20"/>
            <w:szCs w:val="20"/>
          </w:rPr>
          <w:t xml:space="preserve">Future </w:t>
        </w:r>
        <w:r w:rsidR="001F5C62">
          <w:rPr>
            <w:rStyle w:val="Hyperlink"/>
            <w:sz w:val="20"/>
            <w:szCs w:val="20"/>
          </w:rPr>
          <w:t xml:space="preserve">Assessment </w:t>
        </w:r>
        <w:r w:rsidR="008032D9" w:rsidRPr="008032D9">
          <w:rPr>
            <w:rStyle w:val="Hyperlink"/>
            <w:sz w:val="20"/>
            <w:szCs w:val="20"/>
          </w:rPr>
          <w:t>Plans</w:t>
        </w:r>
      </w:hyperlink>
    </w:p>
    <w:p w:rsidR="008032D9" w:rsidRPr="008032D9" w:rsidRDefault="008032D9" w:rsidP="008032D9">
      <w:pPr>
        <w:pStyle w:val="ListParagraph"/>
        <w:spacing w:after="0"/>
        <w:rPr>
          <w:sz w:val="20"/>
          <w:szCs w:val="20"/>
        </w:rPr>
      </w:pPr>
    </w:p>
    <w:p w:rsidR="006A2C78" w:rsidRDefault="002E6645" w:rsidP="002E6645">
      <w:bookmarkStart w:id="1" w:name="Background"/>
      <w:r w:rsidRPr="00220186">
        <w:rPr>
          <w:b/>
          <w:sz w:val="24"/>
          <w:szCs w:val="24"/>
          <w:u w:val="single"/>
        </w:rPr>
        <w:t>Background:</w:t>
      </w:r>
      <w:bookmarkEnd w:id="1"/>
      <w:r w:rsidR="00E33577">
        <w:rPr>
          <w:u w:val="single"/>
        </w:rPr>
        <w:br/>
      </w:r>
      <w:r w:rsidR="00E33577">
        <w:t>Amarillo College adopted and piloted the Institutional Portfolio Model in the 2006-2007 academic year.  Th</w:t>
      </w:r>
      <w:r w:rsidR="00B101CA">
        <w:t>e</w:t>
      </w:r>
      <w:r w:rsidR="00E33577">
        <w:t xml:space="preserve"> Institutional Portfolio Model i</w:t>
      </w:r>
      <w:r w:rsidR="006A2C78">
        <w:t>nvolves</w:t>
      </w:r>
      <w:r w:rsidR="00E33577">
        <w:t xml:space="preserve"> a transparent and dynamic process that utilizes subcommittees in the exami</w:t>
      </w:r>
      <w:r w:rsidR="006A2C78">
        <w:t>nation of student work.</w:t>
      </w:r>
      <w:r w:rsidR="00E33577">
        <w:t xml:space="preserve">  </w:t>
      </w:r>
    </w:p>
    <w:p w:rsidR="00CD450E" w:rsidRDefault="006A2C78" w:rsidP="002E6645">
      <w:r>
        <w:t xml:space="preserve">Since 2006, Amarillo College has </w:t>
      </w:r>
      <w:r w:rsidR="001D53AF">
        <w:t>continued to modify and improve assessment methods. As a result,</w:t>
      </w:r>
      <w:r>
        <w:t xml:space="preserve"> </w:t>
      </w:r>
      <w:r w:rsidR="00CD450E">
        <w:br/>
      </w:r>
      <w:r w:rsidR="001D53AF">
        <w:t xml:space="preserve">in 2010, </w:t>
      </w:r>
      <w:r>
        <w:t>Amar</w:t>
      </w:r>
      <w:r w:rsidR="00CD450E">
        <w:t>illo College began the transition toward aligning the existing</w:t>
      </w:r>
      <w:r w:rsidR="00211AF1">
        <w:t xml:space="preserve"> AC</w:t>
      </w:r>
      <w:r w:rsidR="00CD450E">
        <w:t xml:space="preserve"> general education competencies </w:t>
      </w:r>
      <w:r w:rsidR="00211AF1">
        <w:t>with the competencies and curriculum mapping outlined in the Texas Higher Education Coordinating Board’s “</w:t>
      </w:r>
      <w:hyperlink r:id="rId9" w:history="1">
        <w:r w:rsidR="00211AF1" w:rsidRPr="00ED3E94">
          <w:rPr>
            <w:rStyle w:val="Hyperlink"/>
          </w:rPr>
          <w:t>Revising the State Core Curriculum: A focus on 21</w:t>
        </w:r>
        <w:r w:rsidR="00211AF1" w:rsidRPr="00ED3E94">
          <w:rPr>
            <w:rStyle w:val="Hyperlink"/>
            <w:vertAlign w:val="superscript"/>
          </w:rPr>
          <w:t>st</w:t>
        </w:r>
        <w:r w:rsidR="00211AF1" w:rsidRPr="00ED3E94">
          <w:rPr>
            <w:rStyle w:val="Hyperlink"/>
          </w:rPr>
          <w:t xml:space="preserve"> Century Competencies</w:t>
        </w:r>
      </w:hyperlink>
      <w:r w:rsidR="00211AF1">
        <w:t>” report.</w:t>
      </w:r>
    </w:p>
    <w:p w:rsidR="00F65B03" w:rsidRDefault="00CD450E" w:rsidP="003F4F6D">
      <w:r>
        <w:t>For the 2010-2011 year,</w:t>
      </w:r>
      <w:r w:rsidR="00842ACF">
        <w:t xml:space="preserve"> the </w:t>
      </w:r>
      <w:r w:rsidR="00842ACF">
        <w:rPr>
          <w:i/>
        </w:rPr>
        <w:t>Technology</w:t>
      </w:r>
      <w:r>
        <w:t xml:space="preserve"> competency</w:t>
      </w:r>
      <w:r w:rsidR="00842ACF">
        <w:t xml:space="preserve"> </w:t>
      </w:r>
      <w:r>
        <w:t>w</w:t>
      </w:r>
      <w:r w:rsidR="00842ACF">
        <w:t xml:space="preserve">as </w:t>
      </w:r>
      <w:r w:rsidR="000C7E48">
        <w:t>retired as an active competency assessment area</w:t>
      </w:r>
      <w:r w:rsidR="00200A9C">
        <w:t xml:space="preserve">. </w:t>
      </w:r>
      <w:r w:rsidR="00BB74F1">
        <w:t xml:space="preserve">However, the </w:t>
      </w:r>
      <w:r w:rsidR="00842ACF">
        <w:t xml:space="preserve">remaining competencies </w:t>
      </w:r>
      <w:r w:rsidR="00B101CA">
        <w:t xml:space="preserve">of Critical Thinking, Communication, and Math </w:t>
      </w:r>
      <w:r w:rsidR="002240B5">
        <w:t xml:space="preserve">were included in the 2010-2011 assessment </w:t>
      </w:r>
      <w:r w:rsidR="008F1D42">
        <w:t xml:space="preserve">cycle with the intent that that the areas </w:t>
      </w:r>
      <w:r w:rsidR="00BB74F1">
        <w:t xml:space="preserve">would be transformed in subsequent </w:t>
      </w:r>
      <w:r w:rsidR="008F1D42">
        <w:t>assessment periods.</w:t>
      </w:r>
    </w:p>
    <w:p w:rsidR="002240B5" w:rsidRPr="003F4F6D" w:rsidRDefault="002240B5" w:rsidP="003F4F6D">
      <w:r>
        <w:t xml:space="preserve">For more information, on the general education competency assessment process, please view the </w:t>
      </w:r>
      <w:r w:rsidRPr="00076009">
        <w:t xml:space="preserve">Amarillo College </w:t>
      </w:r>
      <w:hyperlink r:id="rId10" w:history="1">
        <w:r w:rsidRPr="00076009">
          <w:rPr>
            <w:rStyle w:val="Hyperlink"/>
          </w:rPr>
          <w:t>General Education Competency Methodology</w:t>
        </w:r>
      </w:hyperlink>
      <w:r w:rsidR="00076009">
        <w:t>.</w:t>
      </w:r>
      <w:r w:rsidRPr="00076009">
        <w:t xml:space="preserve"> </w:t>
      </w:r>
    </w:p>
    <w:p w:rsidR="008032D9" w:rsidRDefault="008032D9" w:rsidP="00591446">
      <w:pPr>
        <w:spacing w:after="0"/>
        <w:rPr>
          <w:b/>
          <w:sz w:val="24"/>
          <w:szCs w:val="24"/>
          <w:u w:val="single"/>
        </w:rPr>
      </w:pPr>
    </w:p>
    <w:p w:rsidR="00200A9C" w:rsidRPr="00220186" w:rsidRDefault="00200A9C" w:rsidP="00591446">
      <w:pPr>
        <w:spacing w:after="0"/>
        <w:rPr>
          <w:b/>
          <w:sz w:val="24"/>
          <w:szCs w:val="24"/>
        </w:rPr>
      </w:pPr>
      <w:r w:rsidRPr="00220186">
        <w:rPr>
          <w:b/>
          <w:sz w:val="24"/>
          <w:szCs w:val="24"/>
          <w:u w:val="single"/>
        </w:rPr>
        <w:t>2010-</w:t>
      </w:r>
      <w:bookmarkStart w:id="2" w:name="Competencies_Assessed"/>
      <w:r w:rsidRPr="00220186">
        <w:rPr>
          <w:b/>
          <w:sz w:val="24"/>
          <w:szCs w:val="24"/>
          <w:u w:val="single"/>
        </w:rPr>
        <w:t>2011 General Education Competencies</w:t>
      </w:r>
      <w:r w:rsidR="002226B9" w:rsidRPr="00220186">
        <w:rPr>
          <w:b/>
          <w:sz w:val="24"/>
          <w:szCs w:val="24"/>
          <w:u w:val="single"/>
        </w:rPr>
        <w:t xml:space="preserve"> Assessed</w:t>
      </w:r>
      <w:bookmarkEnd w:id="2"/>
      <w:r w:rsidRPr="00220186">
        <w:rPr>
          <w:b/>
          <w:sz w:val="24"/>
          <w:szCs w:val="24"/>
          <w:u w:val="single"/>
        </w:rPr>
        <w:t>:</w:t>
      </w:r>
    </w:p>
    <w:p w:rsidR="00CD450E" w:rsidRDefault="00CD450E" w:rsidP="00CD450E">
      <w:pPr>
        <w:pStyle w:val="ListParagraph"/>
        <w:numPr>
          <w:ilvl w:val="0"/>
          <w:numId w:val="1"/>
        </w:numPr>
      </w:pPr>
      <w:r>
        <w:t>Critical Thinking</w:t>
      </w:r>
    </w:p>
    <w:p w:rsidR="00CD450E" w:rsidRDefault="00CD450E" w:rsidP="00CD450E">
      <w:pPr>
        <w:pStyle w:val="ListParagraph"/>
        <w:numPr>
          <w:ilvl w:val="0"/>
          <w:numId w:val="1"/>
        </w:numPr>
      </w:pPr>
      <w:r>
        <w:t>C</w:t>
      </w:r>
      <w:r w:rsidR="00842ACF">
        <w:t>ommunication</w:t>
      </w:r>
    </w:p>
    <w:p w:rsidR="00C373F4" w:rsidRDefault="00842ACF" w:rsidP="002D4D4E">
      <w:pPr>
        <w:pStyle w:val="ListParagraph"/>
        <w:numPr>
          <w:ilvl w:val="0"/>
          <w:numId w:val="1"/>
        </w:numPr>
      </w:pPr>
      <w:r>
        <w:t xml:space="preserve">Math </w:t>
      </w:r>
    </w:p>
    <w:p w:rsidR="008032D9" w:rsidRDefault="008032D9" w:rsidP="008032D9">
      <w:pPr>
        <w:rPr>
          <w:b/>
          <w:sz w:val="24"/>
          <w:szCs w:val="24"/>
          <w:u w:val="single"/>
        </w:rPr>
      </w:pPr>
    </w:p>
    <w:p w:rsidR="008032D9" w:rsidRDefault="008032D9" w:rsidP="008032D9">
      <w:pPr>
        <w:rPr>
          <w:b/>
          <w:sz w:val="24"/>
          <w:szCs w:val="24"/>
          <w:u w:val="single"/>
        </w:rPr>
      </w:pPr>
    </w:p>
    <w:p w:rsidR="008032D9" w:rsidRDefault="008032D9" w:rsidP="008032D9">
      <w:pPr>
        <w:rPr>
          <w:b/>
          <w:sz w:val="24"/>
          <w:szCs w:val="24"/>
          <w:u w:val="single"/>
        </w:rPr>
      </w:pPr>
    </w:p>
    <w:p w:rsidR="008032D9" w:rsidRDefault="008032D9" w:rsidP="008032D9">
      <w:pPr>
        <w:rPr>
          <w:b/>
          <w:sz w:val="24"/>
          <w:szCs w:val="24"/>
          <w:u w:val="single"/>
        </w:rPr>
      </w:pPr>
    </w:p>
    <w:p w:rsidR="003F4F6D" w:rsidRPr="008032D9" w:rsidRDefault="003F4F6D" w:rsidP="008032D9">
      <w:pPr>
        <w:rPr>
          <w:b/>
          <w:sz w:val="24"/>
          <w:szCs w:val="24"/>
          <w:u w:val="single"/>
        </w:rPr>
      </w:pPr>
      <w:bookmarkStart w:id="3" w:name="Participation"/>
      <w:r w:rsidRPr="00220186">
        <w:rPr>
          <w:b/>
          <w:sz w:val="24"/>
          <w:szCs w:val="24"/>
          <w:u w:val="single"/>
        </w:rPr>
        <w:lastRenderedPageBreak/>
        <w:t>Participation:</w:t>
      </w:r>
      <w:bookmarkEnd w:id="3"/>
      <w:r w:rsidR="008032D9">
        <w:rPr>
          <w:b/>
          <w:sz w:val="24"/>
          <w:szCs w:val="24"/>
          <w:u w:val="single"/>
        </w:rPr>
        <w:br/>
      </w:r>
      <w:hyperlink w:anchor="Topics_Covered" w:history="1">
        <w:r w:rsidR="008032D9" w:rsidRPr="0028588B">
          <w:rPr>
            <w:rStyle w:val="Hyperlink"/>
            <w:b/>
            <w:sz w:val="16"/>
            <w:szCs w:val="16"/>
          </w:rPr>
          <w:t>(Return to “Topics Covered”)</w:t>
        </w:r>
      </w:hyperlink>
      <w:r w:rsidR="00121574">
        <w:rPr>
          <w:b/>
          <w:u w:val="single"/>
        </w:rPr>
        <w:br/>
      </w:r>
      <w:r>
        <w:t>Fall 2007-2008</w:t>
      </w:r>
      <w:r w:rsidR="008F1D42">
        <w:t xml:space="preserve"> marked the first assessment period that general education data was tracked</w:t>
      </w:r>
      <w:r>
        <w:t xml:space="preserve">. </w:t>
      </w:r>
      <w:r w:rsidR="00FD2D07">
        <w:t>The artifacts collected in 2009-2010 were the artifacts that were assessed in the 2010-2011 year.</w:t>
      </w:r>
      <w:r>
        <w:t xml:space="preserve"> The following</w:t>
      </w:r>
      <w:r w:rsidR="008F1D42">
        <w:t xml:space="preserve"> table</w:t>
      </w:r>
      <w:r>
        <w:t xml:space="preserve"> shows an initial trend line for</w:t>
      </w:r>
      <w:r w:rsidR="008F1D42">
        <w:t xml:space="preserve"> the first </w:t>
      </w:r>
      <w:r w:rsidR="00F61523">
        <w:t>4</w:t>
      </w:r>
      <w:r>
        <w:t xml:space="preserve"> </w:t>
      </w:r>
      <w:r w:rsidR="006824AA">
        <w:t>years that data was collected for multiple competencies</w:t>
      </w:r>
      <w:r>
        <w:t xml:space="preserve">.  </w:t>
      </w:r>
    </w:p>
    <w:tbl>
      <w:tblPr>
        <w:tblStyle w:val="LightGrid-Accent1"/>
        <w:tblW w:w="9022" w:type="dxa"/>
        <w:tblInd w:w="108" w:type="dxa"/>
        <w:tblLook w:val="04A0" w:firstRow="1" w:lastRow="0" w:firstColumn="1" w:lastColumn="0" w:noHBand="0" w:noVBand="1"/>
      </w:tblPr>
      <w:tblGrid>
        <w:gridCol w:w="2746"/>
        <w:gridCol w:w="1568"/>
        <w:gridCol w:w="1544"/>
        <w:gridCol w:w="1544"/>
        <w:gridCol w:w="1620"/>
      </w:tblGrid>
      <w:tr w:rsidR="00F61523" w:rsidTr="00F61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EA6A43" w:rsidRDefault="00F61523" w:rsidP="003F4F6D">
            <w:r>
              <w:t>Division</w:t>
            </w:r>
          </w:p>
        </w:tc>
        <w:tc>
          <w:tcPr>
            <w:tcW w:w="1568" w:type="dxa"/>
          </w:tcPr>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Collected for</w:t>
            </w:r>
          </w:p>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200</w:t>
            </w:r>
            <w:r w:rsidRPr="006743E1">
              <w:t>7</w:t>
            </w:r>
            <w:r w:rsidRPr="006743E1">
              <w:t>-20</w:t>
            </w:r>
            <w:r w:rsidRPr="006743E1">
              <w:t>08</w:t>
            </w:r>
            <w:r w:rsidRPr="006743E1">
              <w:t xml:space="preserve"> </w:t>
            </w:r>
          </w:p>
          <w:p w:rsidR="00F61523" w:rsidRPr="006743E1" w:rsidRDefault="006743E1" w:rsidP="00F61523">
            <w:pPr>
              <w:jc w:val="center"/>
              <w:cnfStyle w:val="100000000000" w:firstRow="1" w:lastRow="0" w:firstColumn="0" w:lastColumn="0" w:oddVBand="0" w:evenVBand="0" w:oddHBand="0" w:evenHBand="0" w:firstRowFirstColumn="0" w:firstRowLastColumn="0" w:lastRowFirstColumn="0" w:lastRowLastColumn="0"/>
            </w:pPr>
            <w:r w:rsidRPr="006743E1">
              <w:t>Assessment</w:t>
            </w:r>
          </w:p>
        </w:tc>
        <w:tc>
          <w:tcPr>
            <w:tcW w:w="1544" w:type="dxa"/>
          </w:tcPr>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Collected for</w:t>
            </w:r>
          </w:p>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200</w:t>
            </w:r>
            <w:r w:rsidRPr="006743E1">
              <w:t>8</w:t>
            </w:r>
            <w:r w:rsidRPr="006743E1">
              <w:t>-200</w:t>
            </w:r>
            <w:r w:rsidRPr="006743E1">
              <w:t>9</w:t>
            </w:r>
            <w:r w:rsidRPr="006743E1">
              <w:t xml:space="preserve"> </w:t>
            </w:r>
          </w:p>
          <w:p w:rsidR="00F61523" w:rsidRPr="006743E1" w:rsidRDefault="006743E1" w:rsidP="00F61523">
            <w:pPr>
              <w:jc w:val="center"/>
              <w:cnfStyle w:val="100000000000" w:firstRow="1" w:lastRow="0" w:firstColumn="0" w:lastColumn="0" w:oddVBand="0" w:evenVBand="0" w:oddHBand="0" w:evenHBand="0" w:firstRowFirstColumn="0" w:firstRowLastColumn="0" w:lastRowFirstColumn="0" w:lastRowLastColumn="0"/>
            </w:pPr>
            <w:r w:rsidRPr="006743E1">
              <w:t>Assessment</w:t>
            </w:r>
          </w:p>
        </w:tc>
        <w:tc>
          <w:tcPr>
            <w:tcW w:w="1544" w:type="dxa"/>
          </w:tcPr>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Collected for</w:t>
            </w:r>
          </w:p>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2009</w:t>
            </w:r>
            <w:r w:rsidRPr="006743E1">
              <w:t>-20</w:t>
            </w:r>
            <w:r w:rsidRPr="006743E1">
              <w:t>10</w:t>
            </w:r>
          </w:p>
          <w:p w:rsidR="00F61523" w:rsidRPr="006743E1" w:rsidRDefault="006743E1" w:rsidP="00F61523">
            <w:pPr>
              <w:jc w:val="center"/>
              <w:cnfStyle w:val="100000000000" w:firstRow="1" w:lastRow="0" w:firstColumn="0" w:lastColumn="0" w:oddVBand="0" w:evenVBand="0" w:oddHBand="0" w:evenHBand="0" w:firstRowFirstColumn="0" w:firstRowLastColumn="0" w:lastRowFirstColumn="0" w:lastRowLastColumn="0"/>
            </w:pPr>
            <w:r w:rsidRPr="006743E1">
              <w:t>Assessment</w:t>
            </w:r>
          </w:p>
        </w:tc>
        <w:tc>
          <w:tcPr>
            <w:tcW w:w="1620" w:type="dxa"/>
          </w:tcPr>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Collected for</w:t>
            </w:r>
          </w:p>
          <w:p w:rsidR="00F61523" w:rsidRPr="006743E1" w:rsidRDefault="00F61523" w:rsidP="00F61523">
            <w:pPr>
              <w:jc w:val="center"/>
              <w:cnfStyle w:val="100000000000" w:firstRow="1" w:lastRow="0" w:firstColumn="0" w:lastColumn="0" w:oddVBand="0" w:evenVBand="0" w:oddHBand="0" w:evenHBand="0" w:firstRowFirstColumn="0" w:firstRowLastColumn="0" w:lastRowFirstColumn="0" w:lastRowLastColumn="0"/>
            </w:pPr>
            <w:r w:rsidRPr="006743E1">
              <w:t>2010-2011</w:t>
            </w:r>
          </w:p>
          <w:p w:rsidR="00F61523" w:rsidRPr="006743E1" w:rsidRDefault="006743E1" w:rsidP="00F61523">
            <w:pPr>
              <w:jc w:val="center"/>
              <w:cnfStyle w:val="100000000000" w:firstRow="1" w:lastRow="0" w:firstColumn="0" w:lastColumn="0" w:oddVBand="0" w:evenVBand="0" w:oddHBand="0" w:evenHBand="0" w:firstRowFirstColumn="0" w:firstRowLastColumn="0" w:lastRowFirstColumn="0" w:lastRowLastColumn="0"/>
            </w:pPr>
            <w:r w:rsidRPr="006743E1">
              <w:t>Assessment</w:t>
            </w:r>
          </w:p>
        </w:tc>
      </w:tr>
      <w:tr w:rsidR="00F61523" w:rsidTr="00F6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Allied Health</w:t>
            </w:r>
          </w:p>
        </w:tc>
        <w:tc>
          <w:tcPr>
            <w:tcW w:w="1568"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6</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t>5</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11</w:t>
            </w:r>
          </w:p>
        </w:tc>
        <w:tc>
          <w:tcPr>
            <w:tcW w:w="1620" w:type="dxa"/>
          </w:tcPr>
          <w:p w:rsidR="00F61523" w:rsidRPr="007659C4" w:rsidRDefault="00F61523" w:rsidP="00191B1F">
            <w:pPr>
              <w:jc w:val="center"/>
              <w:cnfStyle w:val="000000100000" w:firstRow="0" w:lastRow="0" w:firstColumn="0" w:lastColumn="0" w:oddVBand="0" w:evenVBand="0" w:oddHBand="1" w:evenHBand="0" w:firstRowFirstColumn="0" w:firstRowLastColumn="0" w:lastRowFirstColumn="0" w:lastRowLastColumn="0"/>
            </w:pPr>
            <w:r w:rsidRPr="007659C4">
              <w:t>5</w:t>
            </w:r>
          </w:p>
        </w:tc>
      </w:tr>
      <w:tr w:rsidR="00F61523" w:rsidTr="00F615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Behavioral Studies</w:t>
            </w:r>
          </w:p>
        </w:tc>
        <w:tc>
          <w:tcPr>
            <w:tcW w:w="1568"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13</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t>4</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6</w:t>
            </w:r>
          </w:p>
        </w:tc>
        <w:tc>
          <w:tcPr>
            <w:tcW w:w="1620"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10</w:t>
            </w:r>
          </w:p>
        </w:tc>
      </w:tr>
      <w:tr w:rsidR="00F61523" w:rsidTr="00F6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Business</w:t>
            </w:r>
          </w:p>
        </w:tc>
        <w:tc>
          <w:tcPr>
            <w:tcW w:w="1568"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14</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t>3</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5</w:t>
            </w:r>
          </w:p>
        </w:tc>
        <w:tc>
          <w:tcPr>
            <w:tcW w:w="1620"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4</w:t>
            </w:r>
          </w:p>
        </w:tc>
      </w:tr>
      <w:tr w:rsidR="00F61523" w:rsidTr="00F615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ITT</w:t>
            </w:r>
          </w:p>
        </w:tc>
        <w:tc>
          <w:tcPr>
            <w:tcW w:w="1568"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9</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t>3</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4</w:t>
            </w:r>
          </w:p>
        </w:tc>
        <w:tc>
          <w:tcPr>
            <w:tcW w:w="1620"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1</w:t>
            </w:r>
          </w:p>
        </w:tc>
      </w:tr>
      <w:tr w:rsidR="00F61523" w:rsidTr="00F6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LCFA</w:t>
            </w:r>
          </w:p>
        </w:tc>
        <w:tc>
          <w:tcPr>
            <w:tcW w:w="1568"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19</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t>0</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5</w:t>
            </w:r>
          </w:p>
        </w:tc>
        <w:tc>
          <w:tcPr>
            <w:tcW w:w="1620"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11</w:t>
            </w:r>
          </w:p>
        </w:tc>
      </w:tr>
      <w:tr w:rsidR="00F61523" w:rsidTr="00F615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Nursing</w:t>
            </w:r>
          </w:p>
        </w:tc>
        <w:tc>
          <w:tcPr>
            <w:tcW w:w="1568"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18</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t>0</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0</w:t>
            </w:r>
          </w:p>
        </w:tc>
        <w:tc>
          <w:tcPr>
            <w:tcW w:w="1620"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11</w:t>
            </w:r>
          </w:p>
        </w:tc>
      </w:tr>
      <w:tr w:rsidR="00F61523" w:rsidTr="00F6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Sciences and Engineering</w:t>
            </w:r>
          </w:p>
        </w:tc>
        <w:tc>
          <w:tcPr>
            <w:tcW w:w="1568"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22</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t>10</w:t>
            </w:r>
          </w:p>
        </w:tc>
        <w:tc>
          <w:tcPr>
            <w:tcW w:w="1544"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14</w:t>
            </w:r>
          </w:p>
        </w:tc>
        <w:tc>
          <w:tcPr>
            <w:tcW w:w="1620" w:type="dxa"/>
          </w:tcPr>
          <w:p w:rsidR="00F61523" w:rsidRPr="007659C4" w:rsidRDefault="00F61523" w:rsidP="000A0100">
            <w:pPr>
              <w:jc w:val="center"/>
              <w:cnfStyle w:val="000000100000" w:firstRow="0" w:lastRow="0" w:firstColumn="0" w:lastColumn="0" w:oddVBand="0" w:evenVBand="0" w:oddHBand="1" w:evenHBand="0" w:firstRowFirstColumn="0" w:firstRowLastColumn="0" w:lastRowFirstColumn="0" w:lastRowLastColumn="0"/>
            </w:pPr>
            <w:r w:rsidRPr="007659C4">
              <w:t>16</w:t>
            </w:r>
          </w:p>
        </w:tc>
      </w:tr>
      <w:tr w:rsidR="00F61523" w:rsidTr="00F615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F61523" w:rsidRPr="007A3133" w:rsidRDefault="00F61523" w:rsidP="003F4F6D">
            <w:pPr>
              <w:rPr>
                <w:b w:val="0"/>
              </w:rPr>
            </w:pPr>
            <w:r w:rsidRPr="007A3133">
              <w:rPr>
                <w:b w:val="0"/>
              </w:rPr>
              <w:t>Work Force Development</w:t>
            </w:r>
          </w:p>
        </w:tc>
        <w:tc>
          <w:tcPr>
            <w:tcW w:w="1568"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0</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t>1</w:t>
            </w:r>
          </w:p>
        </w:tc>
        <w:tc>
          <w:tcPr>
            <w:tcW w:w="1544"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2</w:t>
            </w:r>
          </w:p>
        </w:tc>
        <w:tc>
          <w:tcPr>
            <w:tcW w:w="1620" w:type="dxa"/>
          </w:tcPr>
          <w:p w:rsidR="00F61523" w:rsidRPr="007659C4" w:rsidRDefault="00F61523" w:rsidP="000A0100">
            <w:pPr>
              <w:jc w:val="center"/>
              <w:cnfStyle w:val="000000010000" w:firstRow="0" w:lastRow="0" w:firstColumn="0" w:lastColumn="0" w:oddVBand="0" w:evenVBand="0" w:oddHBand="0" w:evenHBand="1" w:firstRowFirstColumn="0" w:firstRowLastColumn="0" w:lastRowFirstColumn="0" w:lastRowLastColumn="0"/>
            </w:pPr>
            <w:r w:rsidRPr="007659C4">
              <w:t>0</w:t>
            </w:r>
          </w:p>
        </w:tc>
      </w:tr>
    </w:tbl>
    <w:p w:rsidR="003B575C" w:rsidRDefault="006A7721" w:rsidP="0089766A">
      <w:r>
        <w:t xml:space="preserve">*These </w:t>
      </w:r>
      <w:r w:rsidR="003F4F6D">
        <w:t xml:space="preserve">numbers do not reflect duplicate faculty submissions.  Several faculty members submitted </w:t>
      </w:r>
      <w:r>
        <w:t xml:space="preserve">artifacts for </w:t>
      </w:r>
      <w:r w:rsidR="003F4F6D">
        <w:t>more than one class</w:t>
      </w:r>
      <w:r w:rsidR="00121574">
        <w:t>, but each faculty member is only counted once regardless of classes/sections taught</w:t>
      </w:r>
      <w:r w:rsidR="0089766A">
        <w:t>.</w:t>
      </w:r>
    </w:p>
    <w:p w:rsidR="006824AA" w:rsidRDefault="006824AA" w:rsidP="0089766A"/>
    <w:p w:rsidR="008032D9" w:rsidRDefault="008032D9">
      <w:pPr>
        <w:rPr>
          <w:b/>
          <w:sz w:val="24"/>
          <w:szCs w:val="24"/>
          <w:u w:val="single"/>
        </w:rPr>
      </w:pPr>
      <w:r>
        <w:rPr>
          <w:b/>
          <w:sz w:val="24"/>
          <w:szCs w:val="24"/>
          <w:u w:val="single"/>
        </w:rPr>
        <w:br w:type="page"/>
      </w:r>
      <w:bookmarkStart w:id="4" w:name="_GoBack"/>
      <w:bookmarkEnd w:id="4"/>
    </w:p>
    <w:p w:rsidR="003F4F6D" w:rsidRPr="00121574" w:rsidRDefault="00D14BD8" w:rsidP="00C175AE">
      <w:pPr>
        <w:spacing w:after="0"/>
        <w:jc w:val="center"/>
      </w:pPr>
      <w:bookmarkStart w:id="5" w:name="Communication"/>
      <w:r w:rsidRPr="00D57470">
        <w:rPr>
          <w:b/>
          <w:i/>
          <w:sz w:val="28"/>
          <w:szCs w:val="28"/>
        </w:rPr>
        <w:lastRenderedPageBreak/>
        <w:t>C</w:t>
      </w:r>
      <w:r w:rsidR="0050416B" w:rsidRPr="00D57470">
        <w:rPr>
          <w:b/>
          <w:i/>
          <w:sz w:val="28"/>
          <w:szCs w:val="28"/>
        </w:rPr>
        <w:t>OMMUNICATION</w:t>
      </w:r>
      <w:r w:rsidRPr="00D57470">
        <w:rPr>
          <w:b/>
          <w:i/>
          <w:sz w:val="28"/>
          <w:szCs w:val="28"/>
        </w:rPr>
        <w:t xml:space="preserve"> COMPET</w:t>
      </w:r>
      <w:r w:rsidR="00DD1211" w:rsidRPr="00D57470">
        <w:rPr>
          <w:b/>
          <w:i/>
          <w:sz w:val="28"/>
          <w:szCs w:val="28"/>
        </w:rPr>
        <w:t>E</w:t>
      </w:r>
      <w:r w:rsidRPr="00D57470">
        <w:rPr>
          <w:b/>
          <w:i/>
          <w:sz w:val="28"/>
          <w:szCs w:val="28"/>
        </w:rPr>
        <w:t>NCY</w:t>
      </w:r>
      <w:r w:rsidR="00C175AE" w:rsidRPr="00D57470">
        <w:rPr>
          <w:b/>
          <w:i/>
          <w:sz w:val="28"/>
          <w:szCs w:val="28"/>
        </w:rPr>
        <w:t xml:space="preserve"> ANALYSIS</w:t>
      </w:r>
      <w:r w:rsidR="0050416B" w:rsidRPr="00D57470">
        <w:rPr>
          <w:b/>
          <w:i/>
          <w:sz w:val="28"/>
          <w:szCs w:val="28"/>
        </w:rPr>
        <w:t>:</w:t>
      </w:r>
      <w:r w:rsidR="008032D9">
        <w:rPr>
          <w:i/>
        </w:rPr>
        <w:br/>
      </w:r>
      <w:hyperlink w:anchor="Topics_Covered" w:history="1">
        <w:r w:rsidR="008032D9" w:rsidRPr="0028588B">
          <w:rPr>
            <w:rStyle w:val="Hyperlink"/>
            <w:b/>
            <w:sz w:val="16"/>
            <w:szCs w:val="16"/>
          </w:rPr>
          <w:t>(Return to “Topics Covered”)</w:t>
        </w:r>
      </w:hyperlink>
    </w:p>
    <w:bookmarkEnd w:id="5"/>
    <w:p w:rsidR="003F4F6D" w:rsidRPr="00274DB1" w:rsidRDefault="003F4F6D" w:rsidP="003F4F6D">
      <w:pPr>
        <w:numPr>
          <w:ilvl w:val="0"/>
          <w:numId w:val="4"/>
        </w:numPr>
        <w:spacing w:after="0" w:line="240" w:lineRule="auto"/>
        <w:rPr>
          <w:u w:val="single"/>
        </w:rPr>
      </w:pPr>
      <w:r w:rsidRPr="00274DB1">
        <w:rPr>
          <w:u w:val="single"/>
        </w:rPr>
        <w:t xml:space="preserve">Goal: </w:t>
      </w:r>
    </w:p>
    <w:p w:rsidR="0089766A" w:rsidRPr="00A466D7" w:rsidRDefault="003F4F6D" w:rsidP="00547B58">
      <w:pPr>
        <w:numPr>
          <w:ilvl w:val="1"/>
          <w:numId w:val="4"/>
        </w:numPr>
        <w:spacing w:after="0" w:line="240" w:lineRule="auto"/>
      </w:pPr>
      <w:r w:rsidRPr="00A466D7">
        <w:t>70% of students will score a 3 or higher (average) on a scale of 1-5</w:t>
      </w:r>
    </w:p>
    <w:p w:rsidR="003F4F6D" w:rsidRPr="00274DB1" w:rsidRDefault="003F4F6D" w:rsidP="003F4F6D">
      <w:pPr>
        <w:numPr>
          <w:ilvl w:val="0"/>
          <w:numId w:val="4"/>
        </w:numPr>
        <w:spacing w:after="0" w:line="240" w:lineRule="auto"/>
        <w:rPr>
          <w:u w:val="single"/>
        </w:rPr>
      </w:pPr>
      <w:r w:rsidRPr="00274DB1">
        <w:rPr>
          <w:u w:val="single"/>
        </w:rPr>
        <w:t>Results:</w:t>
      </w:r>
    </w:p>
    <w:p w:rsidR="003F4F6D" w:rsidRPr="00220E34" w:rsidRDefault="003F4F6D" w:rsidP="003F4F6D">
      <w:pPr>
        <w:numPr>
          <w:ilvl w:val="1"/>
          <w:numId w:val="4"/>
        </w:numPr>
        <w:spacing w:after="0" w:line="240" w:lineRule="auto"/>
      </w:pPr>
      <w:r w:rsidRPr="00220E34">
        <w:t>2007-2008 (N=95)</w:t>
      </w:r>
    </w:p>
    <w:p w:rsidR="003F4F6D" w:rsidRPr="00220E34" w:rsidRDefault="003F4F6D" w:rsidP="003F4F6D">
      <w:pPr>
        <w:numPr>
          <w:ilvl w:val="2"/>
          <w:numId w:val="4"/>
        </w:numPr>
        <w:spacing w:after="0" w:line="240" w:lineRule="auto"/>
      </w:pPr>
      <w:r w:rsidRPr="00220E34">
        <w:t>72% of students scored a 3 or higher</w:t>
      </w:r>
    </w:p>
    <w:p w:rsidR="003F4F6D" w:rsidRPr="00220E34" w:rsidRDefault="003F4F6D" w:rsidP="003F4F6D">
      <w:pPr>
        <w:numPr>
          <w:ilvl w:val="1"/>
          <w:numId w:val="4"/>
        </w:numPr>
        <w:spacing w:after="0" w:line="240" w:lineRule="auto"/>
      </w:pPr>
      <w:r w:rsidRPr="00220E34">
        <w:t>2008-2009 (N=98)</w:t>
      </w:r>
    </w:p>
    <w:p w:rsidR="003F4F6D" w:rsidRPr="00220E34" w:rsidRDefault="003F4F6D" w:rsidP="003F4F6D">
      <w:pPr>
        <w:numPr>
          <w:ilvl w:val="2"/>
          <w:numId w:val="4"/>
        </w:numPr>
        <w:spacing w:after="0" w:line="240" w:lineRule="auto"/>
      </w:pPr>
      <w:r w:rsidRPr="00220E34">
        <w:t>67% of students scored a 3 or higher</w:t>
      </w:r>
      <w:r w:rsidRPr="00220E34">
        <w:tab/>
      </w:r>
    </w:p>
    <w:p w:rsidR="003F4F6D" w:rsidRPr="00220E34" w:rsidRDefault="003F4F6D" w:rsidP="003F4F6D">
      <w:pPr>
        <w:numPr>
          <w:ilvl w:val="3"/>
          <w:numId w:val="4"/>
        </w:numPr>
        <w:spacing w:after="0" w:line="240" w:lineRule="auto"/>
      </w:pPr>
      <w:r w:rsidRPr="00220E34">
        <w:t>Goal was not met</w:t>
      </w:r>
    </w:p>
    <w:p w:rsidR="003F4F6D" w:rsidRDefault="003F4F6D" w:rsidP="003F4F6D">
      <w:pPr>
        <w:numPr>
          <w:ilvl w:val="1"/>
          <w:numId w:val="4"/>
        </w:numPr>
        <w:spacing w:after="0" w:line="240" w:lineRule="auto"/>
      </w:pPr>
      <w:r w:rsidRPr="00220E34">
        <w:t>2009-2010 (N=97)</w:t>
      </w:r>
    </w:p>
    <w:p w:rsidR="00C11AA8" w:rsidRDefault="00C11AA8" w:rsidP="00C11AA8">
      <w:pPr>
        <w:numPr>
          <w:ilvl w:val="2"/>
          <w:numId w:val="4"/>
        </w:numPr>
        <w:spacing w:after="0" w:line="240" w:lineRule="auto"/>
      </w:pPr>
      <w:r>
        <w:t>74% of students scored a 3 or higher</w:t>
      </w:r>
    </w:p>
    <w:p w:rsidR="00C11AA8" w:rsidRPr="00E040BB" w:rsidRDefault="00C11AA8" w:rsidP="003F4F6D">
      <w:pPr>
        <w:numPr>
          <w:ilvl w:val="1"/>
          <w:numId w:val="4"/>
        </w:numPr>
        <w:spacing w:after="0" w:line="240" w:lineRule="auto"/>
      </w:pPr>
      <w:r w:rsidRPr="00E040BB">
        <w:t>2010-2011 (N=</w:t>
      </w:r>
      <w:r w:rsidR="003B0190" w:rsidRPr="00E040BB">
        <w:t>100</w:t>
      </w:r>
      <w:r w:rsidRPr="00E040BB">
        <w:t>)</w:t>
      </w:r>
    </w:p>
    <w:p w:rsidR="003F4F6D" w:rsidRDefault="00E040BB" w:rsidP="003F4F6D">
      <w:pPr>
        <w:numPr>
          <w:ilvl w:val="2"/>
          <w:numId w:val="4"/>
        </w:numPr>
        <w:spacing w:after="0" w:line="240" w:lineRule="auto"/>
        <w:rPr>
          <w:b/>
        </w:rPr>
      </w:pPr>
      <w:r w:rsidRPr="00FA4195">
        <w:rPr>
          <w:b/>
        </w:rPr>
        <w:t>58</w:t>
      </w:r>
      <w:r w:rsidR="003F4F6D" w:rsidRPr="00FA4195">
        <w:rPr>
          <w:b/>
        </w:rPr>
        <w:t>% of students scored a</w:t>
      </w:r>
      <w:r w:rsidRPr="00FA4195">
        <w:rPr>
          <w:b/>
        </w:rPr>
        <w:t xml:space="preserve"> 3</w:t>
      </w:r>
      <w:r w:rsidR="003F4F6D" w:rsidRPr="00FA4195">
        <w:rPr>
          <w:b/>
        </w:rPr>
        <w:t xml:space="preserve"> or higher</w:t>
      </w:r>
    </w:p>
    <w:p w:rsidR="0089766A" w:rsidRPr="00FA4195" w:rsidRDefault="0089766A" w:rsidP="0089766A">
      <w:pPr>
        <w:numPr>
          <w:ilvl w:val="3"/>
          <w:numId w:val="4"/>
        </w:numPr>
        <w:spacing w:after="0" w:line="240" w:lineRule="auto"/>
        <w:rPr>
          <w:b/>
        </w:rPr>
      </w:pPr>
      <w:r>
        <w:rPr>
          <w:b/>
        </w:rPr>
        <w:t>Did not meet minimum standard</w:t>
      </w:r>
    </w:p>
    <w:p w:rsidR="003F4F6D" w:rsidRDefault="003F4F6D" w:rsidP="003637C7">
      <w:pPr>
        <w:spacing w:after="0" w:line="240" w:lineRule="auto"/>
        <w:ind w:left="1440"/>
      </w:pPr>
    </w:p>
    <w:tbl>
      <w:tblPr>
        <w:tblW w:w="9322" w:type="dxa"/>
        <w:tblInd w:w="88" w:type="dxa"/>
        <w:tblLook w:val="04A0" w:firstRow="1" w:lastRow="0" w:firstColumn="1" w:lastColumn="0" w:noHBand="0" w:noVBand="1"/>
      </w:tblPr>
      <w:tblGrid>
        <w:gridCol w:w="2040"/>
        <w:gridCol w:w="1409"/>
        <w:gridCol w:w="940"/>
        <w:gridCol w:w="1280"/>
        <w:gridCol w:w="1323"/>
        <w:gridCol w:w="856"/>
        <w:gridCol w:w="1474"/>
      </w:tblGrid>
      <w:tr w:rsidR="003F4F6D" w:rsidRPr="009A43F5" w:rsidTr="003F4F6D">
        <w:trPr>
          <w:trHeight w:val="323"/>
        </w:trPr>
        <w:tc>
          <w:tcPr>
            <w:tcW w:w="9322" w:type="dxa"/>
            <w:gridSpan w:val="7"/>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3F4F6D" w:rsidRPr="009A43F5" w:rsidRDefault="003637C7" w:rsidP="003F4F6D">
            <w:pPr>
              <w:jc w:val="center"/>
              <w:rPr>
                <w:rFonts w:ascii="Arial" w:hAnsi="Arial" w:cs="Arial"/>
                <w:b/>
                <w:bCs/>
                <w:sz w:val="20"/>
                <w:szCs w:val="20"/>
                <w:highlight w:val="yellow"/>
              </w:rPr>
            </w:pPr>
            <w:r>
              <w:rPr>
                <w:rFonts w:ascii="Arial" w:hAnsi="Arial" w:cs="Arial"/>
                <w:b/>
                <w:bCs/>
                <w:sz w:val="20"/>
                <w:szCs w:val="20"/>
              </w:rPr>
              <w:t xml:space="preserve">Communication Competency </w:t>
            </w:r>
            <w:r w:rsidRPr="0058394E">
              <w:rPr>
                <w:rFonts w:ascii="Arial" w:hAnsi="Arial" w:cs="Arial"/>
                <w:b/>
                <w:bCs/>
                <w:sz w:val="20"/>
                <w:szCs w:val="20"/>
              </w:rPr>
              <w:t xml:space="preserve">Committee </w:t>
            </w:r>
            <w:r>
              <w:rPr>
                <w:rFonts w:ascii="Arial" w:hAnsi="Arial" w:cs="Arial"/>
                <w:b/>
                <w:bCs/>
                <w:sz w:val="20"/>
                <w:szCs w:val="20"/>
              </w:rPr>
              <w:t xml:space="preserve">Artifact </w:t>
            </w:r>
            <w:r w:rsidRPr="0058394E">
              <w:rPr>
                <w:rFonts w:ascii="Arial" w:hAnsi="Arial" w:cs="Arial"/>
                <w:b/>
                <w:bCs/>
                <w:sz w:val="20"/>
                <w:szCs w:val="20"/>
              </w:rPr>
              <w:t>Evaluation</w:t>
            </w:r>
            <w:r>
              <w:rPr>
                <w:rFonts w:ascii="Arial" w:hAnsi="Arial" w:cs="Arial"/>
                <w:b/>
                <w:bCs/>
                <w:sz w:val="20"/>
                <w:szCs w:val="20"/>
              </w:rPr>
              <w:t xml:space="preserve"> Synopsis</w:t>
            </w:r>
          </w:p>
        </w:tc>
      </w:tr>
      <w:tr w:rsidR="003F4F6D" w:rsidRPr="009A43F5" w:rsidTr="003F4F6D">
        <w:trPr>
          <w:trHeight w:val="323"/>
        </w:trPr>
        <w:tc>
          <w:tcPr>
            <w:tcW w:w="2040" w:type="dxa"/>
            <w:tcBorders>
              <w:top w:val="nil"/>
              <w:left w:val="single" w:sz="4" w:space="0" w:color="auto"/>
              <w:bottom w:val="nil"/>
              <w:right w:val="single" w:sz="4" w:space="0" w:color="auto"/>
            </w:tcBorders>
            <w:shd w:val="clear" w:color="000000" w:fill="BFBFBF"/>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 </w:t>
            </w:r>
          </w:p>
        </w:tc>
        <w:tc>
          <w:tcPr>
            <w:tcW w:w="1409" w:type="dxa"/>
            <w:tcBorders>
              <w:top w:val="nil"/>
              <w:left w:val="nil"/>
              <w:bottom w:val="nil"/>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Excellent</w:t>
            </w:r>
          </w:p>
        </w:tc>
        <w:tc>
          <w:tcPr>
            <w:tcW w:w="940" w:type="dxa"/>
            <w:tcBorders>
              <w:top w:val="nil"/>
              <w:left w:val="nil"/>
              <w:bottom w:val="nil"/>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Good</w:t>
            </w:r>
          </w:p>
        </w:tc>
        <w:tc>
          <w:tcPr>
            <w:tcW w:w="1280" w:type="dxa"/>
            <w:tcBorders>
              <w:top w:val="nil"/>
              <w:left w:val="nil"/>
              <w:bottom w:val="nil"/>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Average</w:t>
            </w:r>
          </w:p>
        </w:tc>
        <w:tc>
          <w:tcPr>
            <w:tcW w:w="1323" w:type="dxa"/>
            <w:tcBorders>
              <w:top w:val="nil"/>
              <w:left w:val="nil"/>
              <w:bottom w:val="nil"/>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Marginal</w:t>
            </w:r>
          </w:p>
        </w:tc>
        <w:tc>
          <w:tcPr>
            <w:tcW w:w="856" w:type="dxa"/>
            <w:tcBorders>
              <w:top w:val="nil"/>
              <w:left w:val="nil"/>
              <w:bottom w:val="nil"/>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Poor</w:t>
            </w:r>
          </w:p>
        </w:tc>
        <w:tc>
          <w:tcPr>
            <w:tcW w:w="1474" w:type="dxa"/>
            <w:tcBorders>
              <w:top w:val="nil"/>
              <w:left w:val="nil"/>
              <w:bottom w:val="nil"/>
              <w:right w:val="single" w:sz="4" w:space="0" w:color="auto"/>
            </w:tcBorders>
            <w:shd w:val="clear" w:color="000000" w:fill="BFBFBF"/>
            <w:noWrap/>
            <w:vAlign w:val="bottom"/>
            <w:hideMark/>
          </w:tcPr>
          <w:p w:rsidR="003F4F6D" w:rsidRPr="00220E34" w:rsidRDefault="003F4F6D" w:rsidP="003F4F6D">
            <w:pPr>
              <w:jc w:val="center"/>
              <w:rPr>
                <w:rFonts w:ascii="Arial" w:hAnsi="Arial" w:cs="Arial"/>
                <w:b/>
                <w:bCs/>
                <w:sz w:val="18"/>
                <w:szCs w:val="18"/>
              </w:rPr>
            </w:pPr>
            <w:r w:rsidRPr="00220E34">
              <w:rPr>
                <w:rFonts w:ascii="Arial" w:hAnsi="Arial" w:cs="Arial"/>
                <w:b/>
                <w:bCs/>
                <w:sz w:val="18"/>
                <w:szCs w:val="18"/>
              </w:rPr>
              <w:t># Students</w:t>
            </w:r>
          </w:p>
        </w:tc>
      </w:tr>
      <w:tr w:rsidR="003F4F6D" w:rsidRPr="009A43F5" w:rsidTr="003F4F6D">
        <w:trPr>
          <w:trHeight w:val="323"/>
        </w:trPr>
        <w:tc>
          <w:tcPr>
            <w:tcW w:w="2040" w:type="dxa"/>
            <w:tcBorders>
              <w:top w:val="nil"/>
              <w:left w:val="single" w:sz="4" w:space="0" w:color="auto"/>
              <w:bottom w:val="single" w:sz="4" w:space="0" w:color="auto"/>
              <w:right w:val="single" w:sz="4" w:space="0" w:color="auto"/>
            </w:tcBorders>
            <w:shd w:val="clear" w:color="000000" w:fill="BFBFBF"/>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 </w:t>
            </w:r>
          </w:p>
        </w:tc>
        <w:tc>
          <w:tcPr>
            <w:tcW w:w="1409" w:type="dxa"/>
            <w:tcBorders>
              <w:top w:val="nil"/>
              <w:left w:val="nil"/>
              <w:bottom w:val="single" w:sz="4" w:space="0" w:color="auto"/>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5</w:t>
            </w:r>
          </w:p>
        </w:tc>
        <w:tc>
          <w:tcPr>
            <w:tcW w:w="940" w:type="dxa"/>
            <w:tcBorders>
              <w:top w:val="nil"/>
              <w:left w:val="nil"/>
              <w:bottom w:val="single" w:sz="4" w:space="0" w:color="auto"/>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4</w:t>
            </w:r>
          </w:p>
        </w:tc>
        <w:tc>
          <w:tcPr>
            <w:tcW w:w="1280" w:type="dxa"/>
            <w:tcBorders>
              <w:top w:val="nil"/>
              <w:left w:val="nil"/>
              <w:bottom w:val="single" w:sz="4" w:space="0" w:color="auto"/>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3</w:t>
            </w:r>
          </w:p>
        </w:tc>
        <w:tc>
          <w:tcPr>
            <w:tcW w:w="1323" w:type="dxa"/>
            <w:tcBorders>
              <w:top w:val="nil"/>
              <w:left w:val="nil"/>
              <w:bottom w:val="single" w:sz="4" w:space="0" w:color="auto"/>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2</w:t>
            </w:r>
          </w:p>
        </w:tc>
        <w:tc>
          <w:tcPr>
            <w:tcW w:w="856" w:type="dxa"/>
            <w:tcBorders>
              <w:top w:val="nil"/>
              <w:left w:val="nil"/>
              <w:bottom w:val="single" w:sz="4" w:space="0" w:color="auto"/>
              <w:right w:val="single" w:sz="4" w:space="0" w:color="auto"/>
            </w:tcBorders>
            <w:shd w:val="clear" w:color="000000" w:fill="C0C0C0"/>
            <w:noWrap/>
            <w:vAlign w:val="bottom"/>
            <w:hideMark/>
          </w:tcPr>
          <w:p w:rsidR="003F4F6D" w:rsidRPr="00220E34" w:rsidRDefault="003F4F6D" w:rsidP="003F4F6D">
            <w:pPr>
              <w:jc w:val="center"/>
              <w:rPr>
                <w:rFonts w:ascii="Arial" w:hAnsi="Arial" w:cs="Arial"/>
                <w:b/>
                <w:bCs/>
                <w:sz w:val="20"/>
                <w:szCs w:val="20"/>
              </w:rPr>
            </w:pPr>
            <w:r w:rsidRPr="00220E34">
              <w:rPr>
                <w:rFonts w:ascii="Arial" w:hAnsi="Arial" w:cs="Arial"/>
                <w:b/>
                <w:bCs/>
                <w:sz w:val="20"/>
                <w:szCs w:val="20"/>
              </w:rPr>
              <w:t>1</w:t>
            </w:r>
          </w:p>
        </w:tc>
        <w:tc>
          <w:tcPr>
            <w:tcW w:w="1474" w:type="dxa"/>
            <w:tcBorders>
              <w:top w:val="nil"/>
              <w:left w:val="nil"/>
              <w:bottom w:val="single" w:sz="4" w:space="0" w:color="auto"/>
              <w:right w:val="single" w:sz="4" w:space="0" w:color="auto"/>
            </w:tcBorders>
            <w:shd w:val="clear" w:color="000000" w:fill="BFBFBF"/>
            <w:noWrap/>
            <w:vAlign w:val="bottom"/>
            <w:hideMark/>
          </w:tcPr>
          <w:p w:rsidR="003F4F6D" w:rsidRPr="00220E34" w:rsidRDefault="003F4F6D" w:rsidP="003F4F6D">
            <w:pPr>
              <w:jc w:val="center"/>
              <w:rPr>
                <w:rFonts w:ascii="Arial" w:hAnsi="Arial" w:cs="Arial"/>
                <w:b/>
                <w:bCs/>
                <w:sz w:val="18"/>
                <w:szCs w:val="18"/>
              </w:rPr>
            </w:pPr>
            <w:r w:rsidRPr="00220E34">
              <w:rPr>
                <w:rFonts w:ascii="Arial" w:hAnsi="Arial" w:cs="Arial"/>
                <w:b/>
                <w:bCs/>
                <w:sz w:val="18"/>
                <w:szCs w:val="18"/>
              </w:rPr>
              <w:t>Assessed</w:t>
            </w:r>
          </w:p>
        </w:tc>
      </w:tr>
      <w:tr w:rsidR="003F4F6D" w:rsidRPr="009A43F5" w:rsidTr="00F326E3">
        <w:trPr>
          <w:trHeight w:val="323"/>
        </w:trPr>
        <w:tc>
          <w:tcPr>
            <w:tcW w:w="2040" w:type="dxa"/>
            <w:vMerge w:val="restart"/>
            <w:tcBorders>
              <w:top w:val="nil"/>
              <w:left w:val="single" w:sz="4" w:space="0" w:color="auto"/>
              <w:bottom w:val="single" w:sz="4" w:space="0" w:color="000000"/>
              <w:right w:val="single" w:sz="4" w:space="0" w:color="auto"/>
            </w:tcBorders>
            <w:shd w:val="clear" w:color="000000" w:fill="B8CCE4"/>
            <w:noWrap/>
            <w:hideMark/>
          </w:tcPr>
          <w:p w:rsidR="003F4F6D" w:rsidRPr="00220E34" w:rsidRDefault="003F4F6D" w:rsidP="00F326E3">
            <w:pPr>
              <w:jc w:val="center"/>
              <w:rPr>
                <w:rFonts w:ascii="Arial" w:hAnsi="Arial" w:cs="Arial"/>
                <w:b/>
                <w:bCs/>
                <w:sz w:val="20"/>
                <w:szCs w:val="20"/>
              </w:rPr>
            </w:pPr>
            <w:r w:rsidRPr="00220E34">
              <w:rPr>
                <w:rFonts w:ascii="Arial" w:hAnsi="Arial" w:cs="Arial"/>
                <w:b/>
                <w:bCs/>
                <w:sz w:val="20"/>
                <w:szCs w:val="20"/>
              </w:rPr>
              <w:t>2007-2008</w:t>
            </w:r>
            <w:r w:rsidR="00F326E3">
              <w:rPr>
                <w:rFonts w:ascii="Arial" w:hAnsi="Arial" w:cs="Arial"/>
                <w:b/>
                <w:bCs/>
                <w:sz w:val="20"/>
                <w:szCs w:val="20"/>
              </w:rPr>
              <w:br/>
            </w:r>
            <w:r w:rsidR="00F326E3" w:rsidRPr="003637C7">
              <w:rPr>
                <w:rFonts w:ascii="Arial" w:hAnsi="Arial" w:cs="Arial"/>
                <w:b/>
                <w:bCs/>
                <w:sz w:val="18"/>
                <w:szCs w:val="18"/>
              </w:rPr>
              <w:t>Number and Per</w:t>
            </w:r>
            <w:r w:rsidR="00F326E3">
              <w:rPr>
                <w:rFonts w:ascii="Arial" w:hAnsi="Arial" w:cs="Arial"/>
                <w:b/>
                <w:bCs/>
                <w:sz w:val="18"/>
                <w:szCs w:val="18"/>
              </w:rPr>
              <w:t>c</w:t>
            </w:r>
            <w:r w:rsidR="00F326E3" w:rsidRPr="003637C7">
              <w:rPr>
                <w:rFonts w:ascii="Arial" w:hAnsi="Arial" w:cs="Arial"/>
                <w:b/>
                <w:bCs/>
                <w:sz w:val="18"/>
                <w:szCs w:val="18"/>
              </w:rPr>
              <w:t>entage</w:t>
            </w:r>
          </w:p>
        </w:tc>
        <w:tc>
          <w:tcPr>
            <w:tcW w:w="1409"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7</w:t>
            </w:r>
          </w:p>
        </w:tc>
        <w:tc>
          <w:tcPr>
            <w:tcW w:w="940"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26</w:t>
            </w:r>
          </w:p>
        </w:tc>
        <w:tc>
          <w:tcPr>
            <w:tcW w:w="1280"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35</w:t>
            </w:r>
          </w:p>
        </w:tc>
        <w:tc>
          <w:tcPr>
            <w:tcW w:w="1323"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26</w:t>
            </w:r>
          </w:p>
        </w:tc>
        <w:tc>
          <w:tcPr>
            <w:tcW w:w="856"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1</w:t>
            </w:r>
          </w:p>
        </w:tc>
        <w:tc>
          <w:tcPr>
            <w:tcW w:w="14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95</w:t>
            </w:r>
          </w:p>
        </w:tc>
      </w:tr>
      <w:tr w:rsidR="003F4F6D" w:rsidRPr="009A43F5" w:rsidTr="00F326E3">
        <w:trPr>
          <w:trHeight w:val="620"/>
        </w:trPr>
        <w:tc>
          <w:tcPr>
            <w:tcW w:w="2040" w:type="dxa"/>
            <w:vMerge/>
            <w:tcBorders>
              <w:top w:val="nil"/>
              <w:left w:val="single" w:sz="4" w:space="0" w:color="auto"/>
              <w:bottom w:val="single" w:sz="4" w:space="0" w:color="000000"/>
              <w:right w:val="single" w:sz="4" w:space="0" w:color="auto"/>
            </w:tcBorders>
            <w:hideMark/>
          </w:tcPr>
          <w:p w:rsidR="003F4F6D" w:rsidRPr="00220E34" w:rsidRDefault="003F4F6D" w:rsidP="00F326E3">
            <w:pPr>
              <w:jc w:val="center"/>
              <w:rPr>
                <w:rFonts w:ascii="Arial" w:hAnsi="Arial" w:cs="Arial"/>
                <w:b/>
                <w:bCs/>
                <w:sz w:val="20"/>
                <w:szCs w:val="20"/>
              </w:rPr>
            </w:pPr>
          </w:p>
        </w:tc>
        <w:tc>
          <w:tcPr>
            <w:tcW w:w="1409"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7%</w:t>
            </w:r>
          </w:p>
        </w:tc>
        <w:tc>
          <w:tcPr>
            <w:tcW w:w="940"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27%</w:t>
            </w:r>
          </w:p>
        </w:tc>
        <w:tc>
          <w:tcPr>
            <w:tcW w:w="1280"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37%</w:t>
            </w:r>
          </w:p>
        </w:tc>
        <w:tc>
          <w:tcPr>
            <w:tcW w:w="1323"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27%</w:t>
            </w:r>
          </w:p>
        </w:tc>
        <w:tc>
          <w:tcPr>
            <w:tcW w:w="856" w:type="dxa"/>
            <w:tcBorders>
              <w:top w:val="nil"/>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1%</w:t>
            </w:r>
          </w:p>
        </w:tc>
        <w:tc>
          <w:tcPr>
            <w:tcW w:w="1474" w:type="dxa"/>
            <w:vMerge/>
            <w:tcBorders>
              <w:top w:val="nil"/>
              <w:left w:val="single" w:sz="4" w:space="0" w:color="auto"/>
              <w:bottom w:val="single" w:sz="4" w:space="0" w:color="000000"/>
              <w:right w:val="single" w:sz="4" w:space="0" w:color="auto"/>
            </w:tcBorders>
            <w:vAlign w:val="center"/>
            <w:hideMark/>
          </w:tcPr>
          <w:p w:rsidR="003F4F6D" w:rsidRPr="00220E34" w:rsidRDefault="003F4F6D" w:rsidP="003F4F6D">
            <w:pPr>
              <w:rPr>
                <w:rFonts w:ascii="Arial" w:hAnsi="Arial" w:cs="Arial"/>
                <w:sz w:val="20"/>
                <w:szCs w:val="20"/>
              </w:rPr>
            </w:pPr>
          </w:p>
        </w:tc>
      </w:tr>
      <w:tr w:rsidR="003F4F6D" w:rsidRPr="009A43F5" w:rsidTr="00F326E3">
        <w:trPr>
          <w:trHeight w:val="323"/>
        </w:trPr>
        <w:tc>
          <w:tcPr>
            <w:tcW w:w="2040" w:type="dxa"/>
            <w:vMerge w:val="restart"/>
            <w:tcBorders>
              <w:top w:val="nil"/>
              <w:left w:val="single" w:sz="4" w:space="0" w:color="auto"/>
              <w:bottom w:val="single" w:sz="4" w:space="0" w:color="000000"/>
              <w:right w:val="single" w:sz="4" w:space="0" w:color="auto"/>
            </w:tcBorders>
            <w:shd w:val="clear" w:color="000000" w:fill="E6B9B8"/>
            <w:noWrap/>
            <w:hideMark/>
          </w:tcPr>
          <w:p w:rsidR="003F4F6D" w:rsidRPr="00220E34" w:rsidRDefault="003F4F6D" w:rsidP="00F326E3">
            <w:pPr>
              <w:jc w:val="center"/>
              <w:rPr>
                <w:rFonts w:ascii="Arial" w:hAnsi="Arial" w:cs="Arial"/>
                <w:b/>
                <w:bCs/>
                <w:sz w:val="20"/>
                <w:szCs w:val="20"/>
              </w:rPr>
            </w:pPr>
            <w:r w:rsidRPr="00220E34">
              <w:rPr>
                <w:rFonts w:ascii="Arial" w:hAnsi="Arial" w:cs="Arial"/>
                <w:b/>
                <w:bCs/>
                <w:sz w:val="20"/>
                <w:szCs w:val="20"/>
              </w:rPr>
              <w:t>2008-2009</w:t>
            </w:r>
            <w:r w:rsidR="00F326E3">
              <w:rPr>
                <w:rFonts w:ascii="Arial" w:hAnsi="Arial" w:cs="Arial"/>
                <w:b/>
                <w:bCs/>
                <w:sz w:val="20"/>
                <w:szCs w:val="20"/>
              </w:rPr>
              <w:br/>
            </w:r>
            <w:r w:rsidR="00F326E3" w:rsidRPr="003637C7">
              <w:rPr>
                <w:rFonts w:ascii="Arial" w:hAnsi="Arial" w:cs="Arial"/>
                <w:b/>
                <w:bCs/>
                <w:sz w:val="18"/>
                <w:szCs w:val="18"/>
              </w:rPr>
              <w:t>Number and Per</w:t>
            </w:r>
            <w:r w:rsidR="00F326E3">
              <w:rPr>
                <w:rFonts w:ascii="Arial" w:hAnsi="Arial" w:cs="Arial"/>
                <w:b/>
                <w:bCs/>
                <w:sz w:val="18"/>
                <w:szCs w:val="18"/>
              </w:rPr>
              <w:t>c</w:t>
            </w:r>
            <w:r w:rsidR="00F326E3" w:rsidRPr="003637C7">
              <w:rPr>
                <w:rFonts w:ascii="Arial" w:hAnsi="Arial" w:cs="Arial"/>
                <w:b/>
                <w:bCs/>
                <w:sz w:val="18"/>
                <w:szCs w:val="18"/>
              </w:rPr>
              <w:t>entage</w:t>
            </w:r>
          </w:p>
        </w:tc>
        <w:tc>
          <w:tcPr>
            <w:tcW w:w="1409" w:type="dxa"/>
            <w:tcBorders>
              <w:top w:val="single" w:sz="4" w:space="0" w:color="auto"/>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1</w:t>
            </w:r>
          </w:p>
        </w:tc>
        <w:tc>
          <w:tcPr>
            <w:tcW w:w="940" w:type="dxa"/>
            <w:tcBorders>
              <w:top w:val="single" w:sz="4" w:space="0" w:color="auto"/>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25</w:t>
            </w:r>
          </w:p>
        </w:tc>
        <w:tc>
          <w:tcPr>
            <w:tcW w:w="1280" w:type="dxa"/>
            <w:tcBorders>
              <w:top w:val="single" w:sz="4" w:space="0" w:color="auto"/>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40</w:t>
            </w:r>
          </w:p>
        </w:tc>
        <w:tc>
          <w:tcPr>
            <w:tcW w:w="1323" w:type="dxa"/>
            <w:tcBorders>
              <w:top w:val="single" w:sz="4" w:space="0" w:color="auto"/>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30</w:t>
            </w:r>
          </w:p>
        </w:tc>
        <w:tc>
          <w:tcPr>
            <w:tcW w:w="856" w:type="dxa"/>
            <w:tcBorders>
              <w:top w:val="single" w:sz="4" w:space="0" w:color="auto"/>
              <w:left w:val="nil"/>
              <w:bottom w:val="nil"/>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w:t>
            </w:r>
          </w:p>
        </w:tc>
        <w:tc>
          <w:tcPr>
            <w:tcW w:w="14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98</w:t>
            </w:r>
          </w:p>
        </w:tc>
      </w:tr>
      <w:tr w:rsidR="003F4F6D" w:rsidRPr="009A43F5" w:rsidTr="00F326E3">
        <w:trPr>
          <w:trHeight w:val="323"/>
        </w:trPr>
        <w:tc>
          <w:tcPr>
            <w:tcW w:w="2040" w:type="dxa"/>
            <w:vMerge/>
            <w:tcBorders>
              <w:top w:val="nil"/>
              <w:left w:val="single" w:sz="4" w:space="0" w:color="auto"/>
              <w:bottom w:val="single" w:sz="4" w:space="0" w:color="000000"/>
              <w:right w:val="single" w:sz="4" w:space="0" w:color="auto"/>
            </w:tcBorders>
            <w:hideMark/>
          </w:tcPr>
          <w:p w:rsidR="003F4F6D" w:rsidRPr="009A43F5" w:rsidRDefault="003F4F6D" w:rsidP="00F326E3">
            <w:pPr>
              <w:jc w:val="center"/>
              <w:rPr>
                <w:rFonts w:ascii="Arial" w:hAnsi="Arial" w:cs="Arial"/>
                <w:b/>
                <w:bCs/>
                <w:sz w:val="20"/>
                <w:szCs w:val="20"/>
                <w:highlight w:val="yellow"/>
              </w:rPr>
            </w:pPr>
          </w:p>
        </w:tc>
        <w:tc>
          <w:tcPr>
            <w:tcW w:w="1409" w:type="dxa"/>
            <w:tcBorders>
              <w:top w:val="nil"/>
              <w:left w:val="nil"/>
              <w:bottom w:val="single" w:sz="4" w:space="0" w:color="auto"/>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1%</w:t>
            </w:r>
          </w:p>
        </w:tc>
        <w:tc>
          <w:tcPr>
            <w:tcW w:w="940" w:type="dxa"/>
            <w:tcBorders>
              <w:top w:val="nil"/>
              <w:left w:val="nil"/>
              <w:bottom w:val="single" w:sz="4" w:space="0" w:color="auto"/>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26%</w:t>
            </w:r>
          </w:p>
        </w:tc>
        <w:tc>
          <w:tcPr>
            <w:tcW w:w="1280" w:type="dxa"/>
            <w:tcBorders>
              <w:top w:val="nil"/>
              <w:left w:val="nil"/>
              <w:bottom w:val="single" w:sz="4" w:space="0" w:color="auto"/>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41%</w:t>
            </w:r>
          </w:p>
        </w:tc>
        <w:tc>
          <w:tcPr>
            <w:tcW w:w="1323" w:type="dxa"/>
            <w:tcBorders>
              <w:top w:val="nil"/>
              <w:left w:val="nil"/>
              <w:bottom w:val="single" w:sz="4" w:space="0" w:color="auto"/>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31%</w:t>
            </w:r>
          </w:p>
        </w:tc>
        <w:tc>
          <w:tcPr>
            <w:tcW w:w="856" w:type="dxa"/>
            <w:tcBorders>
              <w:top w:val="nil"/>
              <w:left w:val="nil"/>
              <w:bottom w:val="single" w:sz="4" w:space="0" w:color="auto"/>
              <w:right w:val="single" w:sz="4" w:space="0" w:color="auto"/>
            </w:tcBorders>
            <w:shd w:val="clear" w:color="auto" w:fill="auto"/>
            <w:noWrap/>
            <w:vAlign w:val="bottom"/>
            <w:hideMark/>
          </w:tcPr>
          <w:p w:rsidR="003F4F6D" w:rsidRPr="00220E34" w:rsidRDefault="003F4F6D" w:rsidP="003F4F6D">
            <w:pPr>
              <w:jc w:val="center"/>
              <w:rPr>
                <w:rFonts w:ascii="Arial" w:hAnsi="Arial" w:cs="Arial"/>
                <w:sz w:val="20"/>
                <w:szCs w:val="20"/>
              </w:rPr>
            </w:pPr>
            <w:r w:rsidRPr="00220E34">
              <w:rPr>
                <w:rFonts w:ascii="Arial" w:hAnsi="Arial" w:cs="Arial"/>
                <w:sz w:val="20"/>
                <w:szCs w:val="20"/>
              </w:rPr>
              <w:t>2%</w:t>
            </w:r>
          </w:p>
        </w:tc>
        <w:tc>
          <w:tcPr>
            <w:tcW w:w="1474" w:type="dxa"/>
            <w:vMerge/>
            <w:tcBorders>
              <w:top w:val="nil"/>
              <w:left w:val="single" w:sz="4" w:space="0" w:color="auto"/>
              <w:bottom w:val="single" w:sz="4" w:space="0" w:color="000000"/>
              <w:right w:val="single" w:sz="4" w:space="0" w:color="auto"/>
            </w:tcBorders>
            <w:vAlign w:val="center"/>
            <w:hideMark/>
          </w:tcPr>
          <w:p w:rsidR="003F4F6D" w:rsidRPr="009A43F5" w:rsidRDefault="003F4F6D" w:rsidP="003F4F6D">
            <w:pPr>
              <w:rPr>
                <w:rFonts w:ascii="Arial" w:hAnsi="Arial" w:cs="Arial"/>
                <w:sz w:val="20"/>
                <w:szCs w:val="20"/>
                <w:highlight w:val="yellow"/>
              </w:rPr>
            </w:pPr>
          </w:p>
        </w:tc>
      </w:tr>
      <w:tr w:rsidR="003F4F6D" w:rsidTr="00F326E3">
        <w:trPr>
          <w:trHeight w:val="323"/>
        </w:trPr>
        <w:tc>
          <w:tcPr>
            <w:tcW w:w="2040" w:type="dxa"/>
            <w:vMerge w:val="restart"/>
            <w:tcBorders>
              <w:top w:val="single" w:sz="4" w:space="0" w:color="000000"/>
              <w:left w:val="single" w:sz="4" w:space="0" w:color="auto"/>
              <w:bottom w:val="single" w:sz="4" w:space="0" w:color="000000"/>
              <w:right w:val="single" w:sz="4" w:space="0" w:color="auto"/>
            </w:tcBorders>
            <w:shd w:val="clear" w:color="auto" w:fill="FABF8F" w:themeFill="accent6" w:themeFillTint="99"/>
            <w:noWrap/>
            <w:hideMark/>
          </w:tcPr>
          <w:p w:rsidR="003F4F6D" w:rsidRPr="00F326E3" w:rsidRDefault="00F326E3" w:rsidP="00F326E3">
            <w:pPr>
              <w:jc w:val="center"/>
              <w:rPr>
                <w:rFonts w:ascii="Arial" w:hAnsi="Arial" w:cs="Arial"/>
                <w:b/>
                <w:bCs/>
                <w:sz w:val="18"/>
                <w:szCs w:val="18"/>
              </w:rPr>
            </w:pPr>
            <w:r>
              <w:rPr>
                <w:rFonts w:ascii="Arial" w:hAnsi="Arial" w:cs="Arial"/>
                <w:b/>
                <w:bCs/>
                <w:sz w:val="18"/>
                <w:szCs w:val="18"/>
              </w:rPr>
              <w:t>2009-2010</w:t>
            </w:r>
            <w:r>
              <w:rPr>
                <w:rFonts w:ascii="Arial" w:hAnsi="Arial" w:cs="Arial"/>
                <w:b/>
                <w:bCs/>
                <w:sz w:val="18"/>
                <w:szCs w:val="18"/>
              </w:rPr>
              <w:br/>
            </w:r>
            <w:r w:rsidRPr="003637C7">
              <w:rPr>
                <w:rFonts w:ascii="Arial" w:hAnsi="Arial" w:cs="Arial"/>
                <w:b/>
                <w:bCs/>
                <w:sz w:val="18"/>
                <w:szCs w:val="18"/>
              </w:rPr>
              <w:t>Number and Per</w:t>
            </w:r>
            <w:r>
              <w:rPr>
                <w:rFonts w:ascii="Arial" w:hAnsi="Arial" w:cs="Arial"/>
                <w:b/>
                <w:bCs/>
                <w:sz w:val="18"/>
                <w:szCs w:val="18"/>
              </w:rPr>
              <w:t>c</w:t>
            </w:r>
            <w:r w:rsidRPr="003637C7">
              <w:rPr>
                <w:rFonts w:ascii="Arial" w:hAnsi="Arial" w:cs="Arial"/>
                <w:b/>
                <w:bCs/>
                <w:sz w:val="18"/>
                <w:szCs w:val="18"/>
              </w:rPr>
              <w:t>entage</w:t>
            </w:r>
          </w:p>
        </w:tc>
        <w:tc>
          <w:tcPr>
            <w:tcW w:w="1409" w:type="dxa"/>
            <w:tcBorders>
              <w:top w:val="nil"/>
              <w:left w:val="nil"/>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6 </w:t>
            </w:r>
          </w:p>
        </w:tc>
        <w:tc>
          <w:tcPr>
            <w:tcW w:w="940" w:type="dxa"/>
            <w:tcBorders>
              <w:top w:val="nil"/>
              <w:left w:val="nil"/>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19 </w:t>
            </w:r>
          </w:p>
        </w:tc>
        <w:tc>
          <w:tcPr>
            <w:tcW w:w="1280" w:type="dxa"/>
            <w:tcBorders>
              <w:top w:val="nil"/>
              <w:left w:val="nil"/>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47 </w:t>
            </w:r>
          </w:p>
        </w:tc>
        <w:tc>
          <w:tcPr>
            <w:tcW w:w="1323" w:type="dxa"/>
            <w:tcBorders>
              <w:top w:val="nil"/>
              <w:left w:val="nil"/>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22 </w:t>
            </w:r>
          </w:p>
        </w:tc>
        <w:tc>
          <w:tcPr>
            <w:tcW w:w="856" w:type="dxa"/>
            <w:tcBorders>
              <w:top w:val="nil"/>
              <w:left w:val="nil"/>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3 </w:t>
            </w:r>
          </w:p>
        </w:tc>
        <w:tc>
          <w:tcPr>
            <w:tcW w:w="1474"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3F4F6D" w:rsidRDefault="003F4F6D" w:rsidP="003F4F6D">
            <w:pPr>
              <w:jc w:val="center"/>
              <w:rPr>
                <w:rFonts w:ascii="Arial" w:hAnsi="Arial" w:cs="Arial"/>
                <w:sz w:val="20"/>
                <w:szCs w:val="20"/>
              </w:rPr>
            </w:pPr>
            <w:r>
              <w:rPr>
                <w:rFonts w:ascii="Arial" w:hAnsi="Arial" w:cs="Arial"/>
                <w:sz w:val="20"/>
                <w:szCs w:val="20"/>
              </w:rPr>
              <w:t> 97</w:t>
            </w:r>
          </w:p>
        </w:tc>
      </w:tr>
      <w:tr w:rsidR="003F4F6D" w:rsidTr="00F326E3">
        <w:trPr>
          <w:trHeight w:val="323"/>
        </w:trPr>
        <w:tc>
          <w:tcPr>
            <w:tcW w:w="2040" w:type="dxa"/>
            <w:vMerge/>
            <w:tcBorders>
              <w:top w:val="single" w:sz="4" w:space="0" w:color="000000"/>
              <w:left w:val="single" w:sz="4" w:space="0" w:color="auto"/>
              <w:bottom w:val="single" w:sz="4" w:space="0" w:color="000000"/>
              <w:right w:val="single" w:sz="4" w:space="0" w:color="auto"/>
            </w:tcBorders>
            <w:shd w:val="clear" w:color="auto" w:fill="FABF8F" w:themeFill="accent6" w:themeFillTint="99"/>
            <w:hideMark/>
          </w:tcPr>
          <w:p w:rsidR="003F4F6D" w:rsidRDefault="003F4F6D" w:rsidP="00F326E3">
            <w:pPr>
              <w:jc w:val="center"/>
              <w:rPr>
                <w:rFonts w:ascii="Arial" w:hAnsi="Arial" w:cs="Arial"/>
                <w:b/>
                <w:bCs/>
                <w:sz w:val="20"/>
                <w:szCs w:val="20"/>
              </w:rPr>
            </w:pPr>
          </w:p>
        </w:tc>
        <w:tc>
          <w:tcPr>
            <w:tcW w:w="1409" w:type="dxa"/>
            <w:tcBorders>
              <w:top w:val="nil"/>
              <w:left w:val="nil"/>
              <w:bottom w:val="single" w:sz="4" w:space="0" w:color="auto"/>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 6%</w:t>
            </w:r>
          </w:p>
        </w:tc>
        <w:tc>
          <w:tcPr>
            <w:tcW w:w="940" w:type="dxa"/>
            <w:tcBorders>
              <w:top w:val="nil"/>
              <w:left w:val="nil"/>
              <w:bottom w:val="single" w:sz="4" w:space="0" w:color="auto"/>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20% </w:t>
            </w:r>
          </w:p>
        </w:tc>
        <w:tc>
          <w:tcPr>
            <w:tcW w:w="1280" w:type="dxa"/>
            <w:tcBorders>
              <w:top w:val="nil"/>
              <w:left w:val="nil"/>
              <w:bottom w:val="single" w:sz="4" w:space="0" w:color="auto"/>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 49%</w:t>
            </w:r>
          </w:p>
        </w:tc>
        <w:tc>
          <w:tcPr>
            <w:tcW w:w="1323" w:type="dxa"/>
            <w:tcBorders>
              <w:top w:val="nil"/>
              <w:left w:val="nil"/>
              <w:bottom w:val="single" w:sz="4" w:space="0" w:color="auto"/>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 23%</w:t>
            </w:r>
          </w:p>
        </w:tc>
        <w:tc>
          <w:tcPr>
            <w:tcW w:w="856" w:type="dxa"/>
            <w:tcBorders>
              <w:top w:val="nil"/>
              <w:left w:val="nil"/>
              <w:bottom w:val="single" w:sz="4" w:space="0" w:color="auto"/>
              <w:right w:val="single" w:sz="4" w:space="0" w:color="auto"/>
            </w:tcBorders>
            <w:shd w:val="clear" w:color="auto" w:fill="auto"/>
            <w:noWrap/>
            <w:vAlign w:val="bottom"/>
            <w:hideMark/>
          </w:tcPr>
          <w:p w:rsidR="003F4F6D" w:rsidRDefault="003F4F6D" w:rsidP="003F4F6D">
            <w:pPr>
              <w:jc w:val="center"/>
              <w:rPr>
                <w:rFonts w:ascii="Arial" w:hAnsi="Arial" w:cs="Arial"/>
                <w:sz w:val="20"/>
                <w:szCs w:val="20"/>
              </w:rPr>
            </w:pPr>
            <w:r>
              <w:rPr>
                <w:rFonts w:ascii="Arial" w:hAnsi="Arial" w:cs="Arial"/>
                <w:sz w:val="20"/>
                <w:szCs w:val="20"/>
              </w:rPr>
              <w:t> 3%</w:t>
            </w:r>
          </w:p>
        </w:tc>
        <w:tc>
          <w:tcPr>
            <w:tcW w:w="1474" w:type="dxa"/>
            <w:vMerge/>
            <w:tcBorders>
              <w:top w:val="single" w:sz="4" w:space="0" w:color="000000"/>
              <w:left w:val="single" w:sz="4" w:space="0" w:color="auto"/>
              <w:bottom w:val="single" w:sz="4" w:space="0" w:color="000000"/>
              <w:right w:val="single" w:sz="4" w:space="0" w:color="auto"/>
            </w:tcBorders>
            <w:vAlign w:val="center"/>
            <w:hideMark/>
          </w:tcPr>
          <w:p w:rsidR="003F4F6D" w:rsidRDefault="003F4F6D" w:rsidP="003F4F6D">
            <w:pPr>
              <w:rPr>
                <w:rFonts w:ascii="Arial" w:hAnsi="Arial" w:cs="Arial"/>
                <w:sz w:val="20"/>
                <w:szCs w:val="20"/>
              </w:rPr>
            </w:pPr>
          </w:p>
        </w:tc>
      </w:tr>
      <w:tr w:rsidR="00341395" w:rsidTr="00D922FB">
        <w:trPr>
          <w:trHeight w:val="323"/>
        </w:trPr>
        <w:tc>
          <w:tcPr>
            <w:tcW w:w="2040" w:type="dxa"/>
            <w:vMerge w:val="restart"/>
            <w:tcBorders>
              <w:top w:val="single" w:sz="4" w:space="0" w:color="000000"/>
              <w:left w:val="single" w:sz="4" w:space="0" w:color="auto"/>
              <w:right w:val="single" w:sz="4" w:space="0" w:color="auto"/>
            </w:tcBorders>
            <w:shd w:val="clear" w:color="auto" w:fill="FFFF00"/>
          </w:tcPr>
          <w:p w:rsidR="00341395" w:rsidRPr="00F326E3" w:rsidRDefault="00341395" w:rsidP="00F326E3">
            <w:pPr>
              <w:jc w:val="center"/>
              <w:rPr>
                <w:rFonts w:ascii="Arial" w:hAnsi="Arial" w:cs="Arial"/>
                <w:b/>
                <w:bCs/>
                <w:sz w:val="18"/>
                <w:szCs w:val="18"/>
              </w:rPr>
            </w:pPr>
            <w:r w:rsidRPr="00D922FB">
              <w:rPr>
                <w:rFonts w:ascii="Arial" w:hAnsi="Arial" w:cs="Arial"/>
                <w:b/>
                <w:bCs/>
                <w:sz w:val="18"/>
                <w:szCs w:val="18"/>
              </w:rPr>
              <w:t>2010-2011</w:t>
            </w:r>
            <w:r w:rsidR="00C175AE">
              <w:rPr>
                <w:rFonts w:ascii="Arial" w:hAnsi="Arial" w:cs="Arial"/>
                <w:b/>
                <w:bCs/>
                <w:sz w:val="18"/>
                <w:szCs w:val="18"/>
              </w:rPr>
              <w:t>*</w:t>
            </w:r>
            <w:r w:rsidRPr="00D922FB">
              <w:rPr>
                <w:rFonts w:ascii="Arial" w:hAnsi="Arial" w:cs="Arial"/>
                <w:b/>
                <w:bCs/>
                <w:sz w:val="18"/>
                <w:szCs w:val="18"/>
              </w:rPr>
              <w:br/>
              <w:t>Number and Percentage</w:t>
            </w:r>
          </w:p>
        </w:tc>
        <w:tc>
          <w:tcPr>
            <w:tcW w:w="1409" w:type="dxa"/>
            <w:tcBorders>
              <w:top w:val="single" w:sz="4" w:space="0" w:color="auto"/>
              <w:left w:val="nil"/>
              <w:bottom w:val="nil"/>
              <w:right w:val="single" w:sz="4" w:space="0" w:color="auto"/>
            </w:tcBorders>
            <w:shd w:val="clear" w:color="auto" w:fill="FFFF00"/>
            <w:noWrap/>
            <w:vAlign w:val="center"/>
          </w:tcPr>
          <w:p w:rsidR="00341395" w:rsidRPr="0075266A" w:rsidRDefault="00D922FB" w:rsidP="00341395">
            <w:pPr>
              <w:jc w:val="center"/>
              <w:rPr>
                <w:rFonts w:ascii="Arial" w:hAnsi="Arial" w:cs="Arial"/>
                <w:sz w:val="20"/>
                <w:szCs w:val="20"/>
              </w:rPr>
            </w:pPr>
            <w:r>
              <w:rPr>
                <w:rFonts w:ascii="Arial" w:hAnsi="Arial" w:cs="Arial"/>
                <w:sz w:val="20"/>
                <w:szCs w:val="20"/>
              </w:rPr>
              <w:t>2</w:t>
            </w:r>
          </w:p>
        </w:tc>
        <w:tc>
          <w:tcPr>
            <w:tcW w:w="940" w:type="dxa"/>
            <w:tcBorders>
              <w:top w:val="single" w:sz="4" w:space="0" w:color="auto"/>
              <w:left w:val="nil"/>
              <w:bottom w:val="nil"/>
              <w:right w:val="single" w:sz="4" w:space="0" w:color="auto"/>
            </w:tcBorders>
            <w:shd w:val="clear" w:color="auto" w:fill="FFFF00"/>
            <w:noWrap/>
            <w:vAlign w:val="center"/>
          </w:tcPr>
          <w:p w:rsidR="00341395" w:rsidRPr="0075266A" w:rsidRDefault="00D922FB" w:rsidP="00341395">
            <w:pPr>
              <w:jc w:val="center"/>
              <w:rPr>
                <w:rFonts w:ascii="Arial" w:hAnsi="Arial" w:cs="Arial"/>
                <w:sz w:val="20"/>
                <w:szCs w:val="20"/>
              </w:rPr>
            </w:pPr>
            <w:r>
              <w:rPr>
                <w:rFonts w:ascii="Arial" w:hAnsi="Arial" w:cs="Arial"/>
                <w:sz w:val="20"/>
                <w:szCs w:val="20"/>
              </w:rPr>
              <w:t>15</w:t>
            </w:r>
          </w:p>
        </w:tc>
        <w:tc>
          <w:tcPr>
            <w:tcW w:w="1280" w:type="dxa"/>
            <w:tcBorders>
              <w:top w:val="single" w:sz="4" w:space="0" w:color="auto"/>
              <w:left w:val="nil"/>
              <w:bottom w:val="nil"/>
              <w:right w:val="single" w:sz="4" w:space="0" w:color="auto"/>
            </w:tcBorders>
            <w:shd w:val="clear" w:color="auto" w:fill="FFFF00"/>
            <w:noWrap/>
            <w:vAlign w:val="center"/>
          </w:tcPr>
          <w:p w:rsidR="00341395" w:rsidRPr="0075266A" w:rsidRDefault="00D922FB" w:rsidP="00341395">
            <w:pPr>
              <w:jc w:val="center"/>
              <w:rPr>
                <w:rFonts w:ascii="Arial" w:hAnsi="Arial" w:cs="Arial"/>
                <w:sz w:val="20"/>
                <w:szCs w:val="20"/>
              </w:rPr>
            </w:pPr>
            <w:r>
              <w:rPr>
                <w:rFonts w:ascii="Arial" w:hAnsi="Arial" w:cs="Arial"/>
                <w:sz w:val="20"/>
                <w:szCs w:val="20"/>
              </w:rPr>
              <w:t>41</w:t>
            </w:r>
          </w:p>
        </w:tc>
        <w:tc>
          <w:tcPr>
            <w:tcW w:w="1323" w:type="dxa"/>
            <w:tcBorders>
              <w:top w:val="single" w:sz="4" w:space="0" w:color="auto"/>
              <w:left w:val="nil"/>
              <w:bottom w:val="nil"/>
              <w:right w:val="single" w:sz="4" w:space="0" w:color="auto"/>
            </w:tcBorders>
            <w:shd w:val="clear" w:color="auto" w:fill="FFFF00"/>
            <w:noWrap/>
            <w:vAlign w:val="center"/>
          </w:tcPr>
          <w:p w:rsidR="00341395" w:rsidRPr="0075266A" w:rsidRDefault="00D922FB" w:rsidP="00341395">
            <w:pPr>
              <w:jc w:val="center"/>
              <w:rPr>
                <w:rFonts w:ascii="Arial" w:hAnsi="Arial" w:cs="Arial"/>
                <w:sz w:val="20"/>
                <w:szCs w:val="20"/>
              </w:rPr>
            </w:pPr>
            <w:r>
              <w:rPr>
                <w:rFonts w:ascii="Arial" w:hAnsi="Arial" w:cs="Arial"/>
                <w:sz w:val="20"/>
                <w:szCs w:val="20"/>
              </w:rPr>
              <w:t>33</w:t>
            </w:r>
          </w:p>
        </w:tc>
        <w:tc>
          <w:tcPr>
            <w:tcW w:w="856" w:type="dxa"/>
            <w:tcBorders>
              <w:top w:val="single" w:sz="4" w:space="0" w:color="auto"/>
              <w:left w:val="nil"/>
              <w:bottom w:val="nil"/>
              <w:right w:val="single" w:sz="4" w:space="0" w:color="auto"/>
            </w:tcBorders>
            <w:shd w:val="clear" w:color="auto" w:fill="FFFF00"/>
            <w:noWrap/>
            <w:vAlign w:val="center"/>
          </w:tcPr>
          <w:p w:rsidR="00341395" w:rsidRPr="0075266A" w:rsidRDefault="00D922FB" w:rsidP="00341395">
            <w:pPr>
              <w:jc w:val="center"/>
              <w:rPr>
                <w:rFonts w:ascii="Arial" w:hAnsi="Arial" w:cs="Arial"/>
                <w:sz w:val="20"/>
                <w:szCs w:val="20"/>
              </w:rPr>
            </w:pPr>
            <w:r>
              <w:rPr>
                <w:rFonts w:ascii="Arial" w:hAnsi="Arial" w:cs="Arial"/>
                <w:sz w:val="20"/>
                <w:szCs w:val="20"/>
              </w:rPr>
              <w:t>9</w:t>
            </w:r>
          </w:p>
        </w:tc>
        <w:tc>
          <w:tcPr>
            <w:tcW w:w="1474" w:type="dxa"/>
            <w:vMerge w:val="restart"/>
            <w:tcBorders>
              <w:top w:val="single" w:sz="4" w:space="0" w:color="000000"/>
              <w:left w:val="single" w:sz="4" w:space="0" w:color="auto"/>
              <w:right w:val="single" w:sz="4" w:space="0" w:color="auto"/>
            </w:tcBorders>
            <w:shd w:val="clear" w:color="auto" w:fill="FFFF00"/>
            <w:vAlign w:val="center"/>
          </w:tcPr>
          <w:p w:rsidR="00341395" w:rsidRPr="0075266A" w:rsidRDefault="00D922FB" w:rsidP="00341395">
            <w:pPr>
              <w:jc w:val="center"/>
              <w:rPr>
                <w:rFonts w:ascii="Arial" w:hAnsi="Arial" w:cs="Arial"/>
                <w:sz w:val="20"/>
                <w:szCs w:val="20"/>
              </w:rPr>
            </w:pPr>
            <w:r>
              <w:rPr>
                <w:rFonts w:ascii="Arial" w:hAnsi="Arial" w:cs="Arial"/>
                <w:sz w:val="20"/>
                <w:szCs w:val="20"/>
              </w:rPr>
              <w:t>100</w:t>
            </w:r>
          </w:p>
        </w:tc>
      </w:tr>
      <w:tr w:rsidR="00341395" w:rsidTr="00D922FB">
        <w:trPr>
          <w:trHeight w:val="243"/>
        </w:trPr>
        <w:tc>
          <w:tcPr>
            <w:tcW w:w="2040" w:type="dxa"/>
            <w:vMerge/>
            <w:tcBorders>
              <w:left w:val="single" w:sz="4" w:space="0" w:color="auto"/>
              <w:bottom w:val="single" w:sz="4" w:space="0" w:color="000000"/>
              <w:right w:val="single" w:sz="4" w:space="0" w:color="auto"/>
            </w:tcBorders>
            <w:shd w:val="clear" w:color="auto" w:fill="BFBFBF" w:themeFill="background1" w:themeFillShade="BF"/>
            <w:vAlign w:val="center"/>
          </w:tcPr>
          <w:p w:rsidR="00341395" w:rsidRDefault="00341395" w:rsidP="003F4F6D">
            <w:pPr>
              <w:rPr>
                <w:rFonts w:ascii="Arial" w:hAnsi="Arial" w:cs="Arial"/>
                <w:b/>
                <w:bCs/>
                <w:sz w:val="20"/>
                <w:szCs w:val="20"/>
              </w:rPr>
            </w:pPr>
          </w:p>
        </w:tc>
        <w:tc>
          <w:tcPr>
            <w:tcW w:w="1409" w:type="dxa"/>
            <w:tcBorders>
              <w:top w:val="nil"/>
              <w:left w:val="nil"/>
              <w:bottom w:val="single" w:sz="4" w:space="0" w:color="auto"/>
              <w:right w:val="single" w:sz="4" w:space="0" w:color="auto"/>
            </w:tcBorders>
            <w:shd w:val="clear" w:color="auto" w:fill="FFFF00"/>
            <w:noWrap/>
            <w:vAlign w:val="center"/>
          </w:tcPr>
          <w:p w:rsidR="00341395" w:rsidRDefault="00D922FB" w:rsidP="00341395">
            <w:pPr>
              <w:jc w:val="center"/>
              <w:rPr>
                <w:rFonts w:ascii="Arial" w:hAnsi="Arial" w:cs="Arial"/>
                <w:sz w:val="20"/>
                <w:szCs w:val="20"/>
              </w:rPr>
            </w:pPr>
            <w:r>
              <w:rPr>
                <w:rFonts w:ascii="Arial" w:hAnsi="Arial" w:cs="Arial"/>
                <w:sz w:val="20"/>
                <w:szCs w:val="20"/>
              </w:rPr>
              <w:t>2%</w:t>
            </w:r>
          </w:p>
        </w:tc>
        <w:tc>
          <w:tcPr>
            <w:tcW w:w="940" w:type="dxa"/>
            <w:tcBorders>
              <w:top w:val="nil"/>
              <w:left w:val="nil"/>
              <w:bottom w:val="single" w:sz="4" w:space="0" w:color="auto"/>
              <w:right w:val="single" w:sz="4" w:space="0" w:color="auto"/>
            </w:tcBorders>
            <w:shd w:val="clear" w:color="auto" w:fill="FFFF00"/>
            <w:noWrap/>
            <w:vAlign w:val="center"/>
          </w:tcPr>
          <w:p w:rsidR="00341395" w:rsidRDefault="00D922FB" w:rsidP="00341395">
            <w:pPr>
              <w:jc w:val="center"/>
              <w:rPr>
                <w:rFonts w:ascii="Arial" w:hAnsi="Arial" w:cs="Arial"/>
                <w:sz w:val="20"/>
                <w:szCs w:val="20"/>
              </w:rPr>
            </w:pPr>
            <w:r>
              <w:rPr>
                <w:rFonts w:ascii="Arial" w:hAnsi="Arial" w:cs="Arial"/>
                <w:sz w:val="20"/>
                <w:szCs w:val="20"/>
              </w:rPr>
              <w:t>15%</w:t>
            </w:r>
          </w:p>
        </w:tc>
        <w:tc>
          <w:tcPr>
            <w:tcW w:w="1280" w:type="dxa"/>
            <w:tcBorders>
              <w:top w:val="nil"/>
              <w:left w:val="nil"/>
              <w:bottom w:val="single" w:sz="4" w:space="0" w:color="auto"/>
              <w:right w:val="single" w:sz="4" w:space="0" w:color="auto"/>
            </w:tcBorders>
            <w:shd w:val="clear" w:color="auto" w:fill="FFFF00"/>
            <w:noWrap/>
            <w:vAlign w:val="center"/>
          </w:tcPr>
          <w:p w:rsidR="00341395" w:rsidRDefault="00D922FB" w:rsidP="00341395">
            <w:pPr>
              <w:jc w:val="center"/>
              <w:rPr>
                <w:rFonts w:ascii="Arial" w:hAnsi="Arial" w:cs="Arial"/>
                <w:sz w:val="20"/>
                <w:szCs w:val="20"/>
              </w:rPr>
            </w:pPr>
            <w:r>
              <w:rPr>
                <w:rFonts w:ascii="Arial" w:hAnsi="Arial" w:cs="Arial"/>
                <w:sz w:val="20"/>
                <w:szCs w:val="20"/>
              </w:rPr>
              <w:t>41%</w:t>
            </w:r>
          </w:p>
        </w:tc>
        <w:tc>
          <w:tcPr>
            <w:tcW w:w="1323" w:type="dxa"/>
            <w:tcBorders>
              <w:top w:val="nil"/>
              <w:left w:val="nil"/>
              <w:bottom w:val="single" w:sz="4" w:space="0" w:color="auto"/>
              <w:right w:val="single" w:sz="4" w:space="0" w:color="auto"/>
            </w:tcBorders>
            <w:shd w:val="clear" w:color="auto" w:fill="FFFF00"/>
            <w:noWrap/>
            <w:vAlign w:val="center"/>
          </w:tcPr>
          <w:p w:rsidR="00341395" w:rsidRDefault="00D922FB" w:rsidP="00341395">
            <w:pPr>
              <w:jc w:val="center"/>
              <w:rPr>
                <w:rFonts w:ascii="Arial" w:hAnsi="Arial" w:cs="Arial"/>
                <w:sz w:val="20"/>
                <w:szCs w:val="20"/>
              </w:rPr>
            </w:pPr>
            <w:r>
              <w:rPr>
                <w:rFonts w:ascii="Arial" w:hAnsi="Arial" w:cs="Arial"/>
                <w:sz w:val="20"/>
                <w:szCs w:val="20"/>
              </w:rPr>
              <w:t>33%</w:t>
            </w:r>
          </w:p>
        </w:tc>
        <w:tc>
          <w:tcPr>
            <w:tcW w:w="856" w:type="dxa"/>
            <w:tcBorders>
              <w:top w:val="nil"/>
              <w:left w:val="nil"/>
              <w:bottom w:val="single" w:sz="4" w:space="0" w:color="auto"/>
              <w:right w:val="single" w:sz="4" w:space="0" w:color="auto"/>
            </w:tcBorders>
            <w:shd w:val="clear" w:color="auto" w:fill="FFFF00"/>
            <w:noWrap/>
            <w:vAlign w:val="center"/>
          </w:tcPr>
          <w:p w:rsidR="00341395" w:rsidRDefault="00D922FB" w:rsidP="00341395">
            <w:pPr>
              <w:jc w:val="center"/>
              <w:rPr>
                <w:rFonts w:ascii="Arial" w:hAnsi="Arial" w:cs="Arial"/>
                <w:sz w:val="20"/>
                <w:szCs w:val="20"/>
              </w:rPr>
            </w:pPr>
            <w:r>
              <w:rPr>
                <w:rFonts w:ascii="Arial" w:hAnsi="Arial" w:cs="Arial"/>
                <w:sz w:val="20"/>
                <w:szCs w:val="20"/>
              </w:rPr>
              <w:t>9%</w:t>
            </w:r>
          </w:p>
        </w:tc>
        <w:tc>
          <w:tcPr>
            <w:tcW w:w="1474" w:type="dxa"/>
            <w:vMerge/>
            <w:tcBorders>
              <w:left w:val="single" w:sz="4" w:space="0" w:color="auto"/>
              <w:bottom w:val="single" w:sz="4" w:space="0" w:color="000000"/>
              <w:right w:val="single" w:sz="4" w:space="0" w:color="auto"/>
            </w:tcBorders>
            <w:vAlign w:val="center"/>
          </w:tcPr>
          <w:p w:rsidR="00341395" w:rsidRDefault="00341395" w:rsidP="00341395">
            <w:pPr>
              <w:jc w:val="center"/>
              <w:rPr>
                <w:rFonts w:ascii="Arial" w:hAnsi="Arial" w:cs="Arial"/>
                <w:sz w:val="20"/>
                <w:szCs w:val="20"/>
              </w:rPr>
            </w:pPr>
          </w:p>
        </w:tc>
      </w:tr>
    </w:tbl>
    <w:p w:rsidR="00DC2A17" w:rsidRDefault="001F5C62" w:rsidP="00DC2A17">
      <w:pPr>
        <w:spacing w:after="0" w:line="240" w:lineRule="auto"/>
      </w:pPr>
      <w:r>
        <w:t>*</w:t>
      </w:r>
      <w:r w:rsidR="00DC2A17">
        <w:t xml:space="preserve">2010-2011 Table Averaging Method: For 2010-2011, if the committee average for each artifact contained a decimal point of </w:t>
      </w:r>
      <w:r w:rsidR="00DC2A17">
        <w:rPr>
          <w:b/>
        </w:rPr>
        <w:t xml:space="preserve">.50 </w:t>
      </w:r>
      <w:r w:rsidR="00DC2A17">
        <w:t xml:space="preserve">or below, the average was rounded down to the nearest whole number (e.g. 3.5 was equated to 3.0 with the justification that the artifact was clearly a 3, but not necessarily a 4). If an average contained a decimal point of </w:t>
      </w:r>
      <w:r w:rsidR="00DC2A17">
        <w:rPr>
          <w:b/>
        </w:rPr>
        <w:t>.51</w:t>
      </w:r>
      <w:r w:rsidR="00DC2A17">
        <w:t xml:space="preserve"> or above, the average was rounded up to the nearest whole number with the justification that the majority of the committee members rated the artifact with a higher whole number rather than a lower whole number.</w:t>
      </w:r>
    </w:p>
    <w:p w:rsidR="001F5C62" w:rsidRPr="001F5C62" w:rsidRDefault="001F5C62" w:rsidP="001F5C62"/>
    <w:p w:rsidR="00DC2A17" w:rsidRDefault="00DC2A17">
      <w:r>
        <w:br w:type="page"/>
      </w:r>
    </w:p>
    <w:p w:rsidR="009B7603" w:rsidRPr="009B7603" w:rsidRDefault="009B7603" w:rsidP="009B7603">
      <w:pPr>
        <w:spacing w:after="0" w:line="240" w:lineRule="auto"/>
        <w:ind w:left="720"/>
        <w:rPr>
          <w:sz w:val="24"/>
          <w:szCs w:val="24"/>
          <w:u w:val="single"/>
        </w:rPr>
      </w:pPr>
      <w:r w:rsidRPr="009B7603">
        <w:rPr>
          <w:b/>
          <w:i/>
          <w:sz w:val="24"/>
          <w:szCs w:val="24"/>
        </w:rPr>
        <w:lastRenderedPageBreak/>
        <w:t>COMMUNICATION COMPETENCY ANALYSIS CONTINUED:</w:t>
      </w:r>
    </w:p>
    <w:p w:rsidR="003338EA" w:rsidRPr="00274DB1" w:rsidRDefault="003338EA" w:rsidP="0089766A">
      <w:pPr>
        <w:numPr>
          <w:ilvl w:val="0"/>
          <w:numId w:val="4"/>
        </w:numPr>
        <w:spacing w:after="0" w:line="240" w:lineRule="auto"/>
        <w:rPr>
          <w:u w:val="single"/>
        </w:rPr>
      </w:pPr>
      <w:r w:rsidRPr="00274DB1">
        <w:rPr>
          <w:u w:val="single"/>
        </w:rPr>
        <w:t xml:space="preserve">Additional </w:t>
      </w:r>
      <w:r w:rsidR="0089766A" w:rsidRPr="00274DB1">
        <w:rPr>
          <w:u w:val="single"/>
        </w:rPr>
        <w:t xml:space="preserve">Communication </w:t>
      </w:r>
      <w:r w:rsidRPr="00274DB1">
        <w:rPr>
          <w:u w:val="single"/>
        </w:rPr>
        <w:t>Artifact Data</w:t>
      </w:r>
      <w:r w:rsidR="002B178D" w:rsidRPr="00274DB1">
        <w:rPr>
          <w:u w:val="single"/>
        </w:rPr>
        <w:t>/Information</w:t>
      </w:r>
      <w:r w:rsidRPr="00274DB1">
        <w:rPr>
          <w:u w:val="single"/>
        </w:rPr>
        <w:t>:</w:t>
      </w:r>
    </w:p>
    <w:p w:rsidR="00661605" w:rsidRPr="00E90E87" w:rsidRDefault="00661605" w:rsidP="0089766A">
      <w:pPr>
        <w:numPr>
          <w:ilvl w:val="1"/>
          <w:numId w:val="4"/>
        </w:numPr>
        <w:spacing w:after="0" w:line="240" w:lineRule="auto"/>
        <w:rPr>
          <w:u w:val="single"/>
        </w:rPr>
      </w:pPr>
      <w:r w:rsidRPr="00E90E87">
        <w:rPr>
          <w:u w:val="single"/>
        </w:rPr>
        <w:t xml:space="preserve">Use of Different Averaging Methods (Minimally Affects Results): </w:t>
      </w:r>
    </w:p>
    <w:p w:rsidR="00661605" w:rsidRDefault="00661605" w:rsidP="0089766A">
      <w:pPr>
        <w:numPr>
          <w:ilvl w:val="2"/>
          <w:numId w:val="4"/>
        </w:numPr>
        <w:spacing w:after="0" w:line="240" w:lineRule="auto"/>
      </w:pPr>
      <w:r>
        <w:t xml:space="preserve">If all averages that contained a decimal point of .50 had been rounded up to the next whole number rather than rounded down, the numbers and percentages would have been as followed: </w:t>
      </w:r>
    </w:p>
    <w:p w:rsidR="00661605" w:rsidRDefault="00661605" w:rsidP="0089766A">
      <w:pPr>
        <w:numPr>
          <w:ilvl w:val="3"/>
          <w:numId w:val="4"/>
        </w:numPr>
        <w:spacing w:after="0" w:line="240" w:lineRule="auto"/>
      </w:pPr>
      <w:r>
        <w:t xml:space="preserve">Average </w:t>
      </w:r>
      <w:r w:rsidRPr="0022311A">
        <w:t>Rating of 0 or 1</w:t>
      </w:r>
      <w:r>
        <w:t xml:space="preserve">: </w:t>
      </w:r>
      <w:r>
        <w:rPr>
          <w:b/>
        </w:rPr>
        <w:t>9 and 9%</w:t>
      </w:r>
    </w:p>
    <w:p w:rsidR="00661605" w:rsidRPr="00D570D9" w:rsidRDefault="00661605" w:rsidP="0089766A">
      <w:pPr>
        <w:numPr>
          <w:ilvl w:val="3"/>
          <w:numId w:val="4"/>
        </w:numPr>
        <w:spacing w:after="0" w:line="240" w:lineRule="auto"/>
      </w:pPr>
      <w:r>
        <w:t>Average Rating of</w:t>
      </w:r>
      <w:r w:rsidRPr="0022311A">
        <w:t xml:space="preserve"> 2</w:t>
      </w:r>
      <w:r>
        <w:t xml:space="preserve">: </w:t>
      </w:r>
      <w:r>
        <w:rPr>
          <w:b/>
        </w:rPr>
        <w:t>32 and 32%</w:t>
      </w:r>
    </w:p>
    <w:p w:rsidR="00661605" w:rsidRDefault="00661605" w:rsidP="0089766A">
      <w:pPr>
        <w:numPr>
          <w:ilvl w:val="3"/>
          <w:numId w:val="4"/>
        </w:numPr>
        <w:spacing w:after="0" w:line="240" w:lineRule="auto"/>
      </w:pPr>
      <w:r>
        <w:t xml:space="preserve">Average Rating of 3: </w:t>
      </w:r>
      <w:r>
        <w:rPr>
          <w:b/>
        </w:rPr>
        <w:t>42 and 42%</w:t>
      </w:r>
    </w:p>
    <w:p w:rsidR="00661605" w:rsidRDefault="00661605" w:rsidP="0089766A">
      <w:pPr>
        <w:numPr>
          <w:ilvl w:val="3"/>
          <w:numId w:val="4"/>
        </w:numPr>
        <w:spacing w:after="0" w:line="240" w:lineRule="auto"/>
      </w:pPr>
      <w:r>
        <w:t xml:space="preserve">Average Rating of 4: </w:t>
      </w:r>
      <w:r>
        <w:rPr>
          <w:b/>
        </w:rPr>
        <w:t>14 and 14%</w:t>
      </w:r>
    </w:p>
    <w:p w:rsidR="00661605" w:rsidRPr="00DC2A17" w:rsidRDefault="00661605" w:rsidP="0089766A">
      <w:pPr>
        <w:numPr>
          <w:ilvl w:val="3"/>
          <w:numId w:val="4"/>
        </w:numPr>
        <w:spacing w:after="0" w:line="240" w:lineRule="auto"/>
      </w:pPr>
      <w:r>
        <w:t xml:space="preserve">Average Rating of 5: </w:t>
      </w:r>
      <w:r>
        <w:rPr>
          <w:b/>
        </w:rPr>
        <w:t>3 and 3%</w:t>
      </w:r>
    </w:p>
    <w:p w:rsidR="00DC2A17" w:rsidRDefault="00DC2A17" w:rsidP="0089766A">
      <w:pPr>
        <w:numPr>
          <w:ilvl w:val="3"/>
          <w:numId w:val="4"/>
        </w:numPr>
        <w:spacing w:after="0" w:line="240" w:lineRule="auto"/>
      </w:pPr>
      <w:r>
        <w:rPr>
          <w:b/>
        </w:rPr>
        <w:t>Percent to Score a 3 or Higher: 59%</w:t>
      </w:r>
    </w:p>
    <w:p w:rsidR="00661605" w:rsidRDefault="00661605" w:rsidP="0089766A">
      <w:pPr>
        <w:numPr>
          <w:ilvl w:val="2"/>
          <w:numId w:val="4"/>
        </w:numPr>
        <w:spacing w:after="0" w:line="240" w:lineRule="auto"/>
      </w:pPr>
      <w:r>
        <w:t>If all the averages that contained a decimal point of .99 or lower had all been rounded down to the nearest whole number, the numbers and percentages would have been as followed:</w:t>
      </w:r>
    </w:p>
    <w:p w:rsidR="00661605" w:rsidRDefault="00661605" w:rsidP="0089766A">
      <w:pPr>
        <w:numPr>
          <w:ilvl w:val="3"/>
          <w:numId w:val="4"/>
        </w:numPr>
        <w:spacing w:after="0" w:line="240" w:lineRule="auto"/>
      </w:pPr>
      <w:r>
        <w:t xml:space="preserve">Average </w:t>
      </w:r>
      <w:r w:rsidRPr="0022311A">
        <w:t>Rating of 0 or 1</w:t>
      </w:r>
      <w:r>
        <w:t xml:space="preserve">: </w:t>
      </w:r>
      <w:r>
        <w:rPr>
          <w:b/>
        </w:rPr>
        <w:t>1 and 1%</w:t>
      </w:r>
    </w:p>
    <w:p w:rsidR="00661605" w:rsidRPr="00D570D9" w:rsidRDefault="00661605" w:rsidP="0089766A">
      <w:pPr>
        <w:numPr>
          <w:ilvl w:val="3"/>
          <w:numId w:val="4"/>
        </w:numPr>
        <w:spacing w:after="0" w:line="240" w:lineRule="auto"/>
      </w:pPr>
      <w:r>
        <w:t>Average Rating of</w:t>
      </w:r>
      <w:r w:rsidRPr="0022311A">
        <w:t xml:space="preserve"> 2</w:t>
      </w:r>
      <w:r>
        <w:t xml:space="preserve">: </w:t>
      </w:r>
      <w:r>
        <w:rPr>
          <w:b/>
        </w:rPr>
        <w:t>1 and 13%</w:t>
      </w:r>
    </w:p>
    <w:p w:rsidR="00661605" w:rsidRDefault="00661605" w:rsidP="0089766A">
      <w:pPr>
        <w:numPr>
          <w:ilvl w:val="3"/>
          <w:numId w:val="4"/>
        </w:numPr>
        <w:spacing w:after="0" w:line="240" w:lineRule="auto"/>
      </w:pPr>
      <w:r>
        <w:t xml:space="preserve">Average Rating of 3: </w:t>
      </w:r>
      <w:r>
        <w:rPr>
          <w:b/>
        </w:rPr>
        <w:t>39 and 39%</w:t>
      </w:r>
    </w:p>
    <w:p w:rsidR="00661605" w:rsidRDefault="00661605" w:rsidP="0089766A">
      <w:pPr>
        <w:numPr>
          <w:ilvl w:val="3"/>
          <w:numId w:val="4"/>
        </w:numPr>
        <w:spacing w:after="0" w:line="240" w:lineRule="auto"/>
      </w:pPr>
      <w:r>
        <w:t xml:space="preserve">Average Rating of 4: </w:t>
      </w:r>
      <w:r>
        <w:rPr>
          <w:b/>
        </w:rPr>
        <w:t>34 and 34%</w:t>
      </w:r>
    </w:p>
    <w:p w:rsidR="00661605" w:rsidRPr="00DC2A17" w:rsidRDefault="00661605" w:rsidP="0089766A">
      <w:pPr>
        <w:numPr>
          <w:ilvl w:val="3"/>
          <w:numId w:val="4"/>
        </w:numPr>
        <w:spacing w:after="0" w:line="240" w:lineRule="auto"/>
      </w:pPr>
      <w:r>
        <w:t xml:space="preserve">Average Rating of 5: </w:t>
      </w:r>
      <w:r>
        <w:rPr>
          <w:b/>
        </w:rPr>
        <w:t>11 and 11%</w:t>
      </w:r>
    </w:p>
    <w:p w:rsidR="00DC2A17" w:rsidRPr="00954C48" w:rsidRDefault="00DC2A17" w:rsidP="00DC2A17">
      <w:pPr>
        <w:numPr>
          <w:ilvl w:val="3"/>
          <w:numId w:val="4"/>
        </w:numPr>
        <w:spacing w:after="0" w:line="240" w:lineRule="auto"/>
      </w:pPr>
      <w:r>
        <w:rPr>
          <w:b/>
        </w:rPr>
        <w:t>Percent to Score a 3 or Higher: 47%</w:t>
      </w:r>
    </w:p>
    <w:p w:rsidR="00601ECA" w:rsidRPr="00274DB1" w:rsidRDefault="00DC2A17" w:rsidP="00B3424B">
      <w:pPr>
        <w:numPr>
          <w:ilvl w:val="1"/>
          <w:numId w:val="4"/>
        </w:numPr>
        <w:spacing w:after="0" w:line="240" w:lineRule="auto"/>
        <w:rPr>
          <w:u w:val="single"/>
        </w:rPr>
      </w:pPr>
      <w:r w:rsidRPr="00274DB1">
        <w:rPr>
          <w:u w:val="single"/>
        </w:rPr>
        <w:t>Committee Member Artifact A</w:t>
      </w:r>
      <w:r w:rsidR="00601ECA" w:rsidRPr="00274DB1">
        <w:rPr>
          <w:u w:val="single"/>
        </w:rPr>
        <w:t>verage</w:t>
      </w:r>
      <w:r w:rsidRPr="00274DB1">
        <w:rPr>
          <w:u w:val="single"/>
        </w:rPr>
        <w:t>s</w:t>
      </w:r>
      <w:r w:rsidR="00601ECA" w:rsidRPr="00274DB1">
        <w:rPr>
          <w:u w:val="single"/>
        </w:rPr>
        <w:t xml:space="preserve"> (rounded to 2 decimal places)</w:t>
      </w:r>
      <w:r w:rsidR="00274DB1" w:rsidRPr="00274DB1">
        <w:rPr>
          <w:u w:val="single"/>
        </w:rPr>
        <w:t>:</w:t>
      </w:r>
    </w:p>
    <w:p w:rsidR="00601ECA" w:rsidRDefault="00601ECA" w:rsidP="00D57470">
      <w:pPr>
        <w:numPr>
          <w:ilvl w:val="2"/>
          <w:numId w:val="4"/>
        </w:numPr>
        <w:spacing w:after="0" w:line="240" w:lineRule="auto"/>
      </w:pPr>
      <w:r>
        <w:t xml:space="preserve">Committee Member A: </w:t>
      </w:r>
      <w:r>
        <w:rPr>
          <w:b/>
        </w:rPr>
        <w:t>2.81</w:t>
      </w:r>
    </w:p>
    <w:p w:rsidR="00601ECA" w:rsidRDefault="00601ECA" w:rsidP="00D57470">
      <w:pPr>
        <w:numPr>
          <w:ilvl w:val="2"/>
          <w:numId w:val="4"/>
        </w:numPr>
        <w:spacing w:after="0" w:line="240" w:lineRule="auto"/>
      </w:pPr>
      <w:r>
        <w:t xml:space="preserve">Committee Member B: </w:t>
      </w:r>
      <w:r w:rsidRPr="00601ECA">
        <w:rPr>
          <w:b/>
        </w:rPr>
        <w:t>2.84</w:t>
      </w:r>
    </w:p>
    <w:p w:rsidR="00601ECA" w:rsidRDefault="00601ECA" w:rsidP="00D57470">
      <w:pPr>
        <w:numPr>
          <w:ilvl w:val="2"/>
          <w:numId w:val="4"/>
        </w:numPr>
        <w:spacing w:after="0" w:line="240" w:lineRule="auto"/>
      </w:pPr>
      <w:r>
        <w:t xml:space="preserve">Committee Member C: </w:t>
      </w:r>
      <w:r w:rsidRPr="00601ECA">
        <w:rPr>
          <w:b/>
        </w:rPr>
        <w:t>2.62</w:t>
      </w:r>
    </w:p>
    <w:p w:rsidR="00601ECA" w:rsidRPr="00601ECA" w:rsidRDefault="00601ECA" w:rsidP="00D57470">
      <w:pPr>
        <w:numPr>
          <w:ilvl w:val="2"/>
          <w:numId w:val="4"/>
        </w:numPr>
        <w:spacing w:after="0" w:line="240" w:lineRule="auto"/>
      </w:pPr>
      <w:r>
        <w:t xml:space="preserve">Committee Member D: </w:t>
      </w:r>
      <w:r w:rsidRPr="00601ECA">
        <w:rPr>
          <w:b/>
        </w:rPr>
        <w:t>2.61</w:t>
      </w:r>
    </w:p>
    <w:p w:rsidR="00601ECA" w:rsidRPr="00601ECA" w:rsidRDefault="00601ECA" w:rsidP="00D57470">
      <w:pPr>
        <w:numPr>
          <w:ilvl w:val="2"/>
          <w:numId w:val="4"/>
        </w:numPr>
        <w:spacing w:after="0" w:line="240" w:lineRule="auto"/>
      </w:pPr>
      <w:r w:rsidRPr="00601ECA">
        <w:t>Committee Member E</w:t>
      </w:r>
      <w:r w:rsidRPr="00601ECA">
        <w:rPr>
          <w:b/>
        </w:rPr>
        <w:t>:  2.64</w:t>
      </w:r>
    </w:p>
    <w:p w:rsidR="001F5C62" w:rsidRPr="00DC2A17" w:rsidRDefault="00601ECA" w:rsidP="00D57470">
      <w:pPr>
        <w:numPr>
          <w:ilvl w:val="2"/>
          <w:numId w:val="4"/>
        </w:numPr>
        <w:spacing w:after="0" w:line="240" w:lineRule="auto"/>
        <w:rPr>
          <w:b/>
        </w:rPr>
      </w:pPr>
      <w:r w:rsidRPr="00DC2A17">
        <w:rPr>
          <w:b/>
        </w:rPr>
        <w:t>Committee Artifact Average: 2.70</w:t>
      </w:r>
    </w:p>
    <w:p w:rsidR="00DC2A17" w:rsidRPr="00274DB1" w:rsidRDefault="003338EA" w:rsidP="0089766A">
      <w:pPr>
        <w:pStyle w:val="ListParagraph"/>
        <w:numPr>
          <w:ilvl w:val="0"/>
          <w:numId w:val="4"/>
        </w:numPr>
        <w:rPr>
          <w:u w:val="single"/>
        </w:rPr>
      </w:pPr>
      <w:r w:rsidRPr="00274DB1">
        <w:rPr>
          <w:u w:val="single"/>
        </w:rPr>
        <w:t xml:space="preserve">Overall Synopsis: </w:t>
      </w:r>
    </w:p>
    <w:p w:rsidR="003338EA" w:rsidRPr="001F5C62" w:rsidRDefault="006D2431" w:rsidP="00DC2A17">
      <w:pPr>
        <w:pStyle w:val="ListParagraph"/>
      </w:pPr>
      <w:r>
        <w:t xml:space="preserve">Regardless of the averaging method used, the competency goal was not reached. The mode for 4 of the 5 committee members was a score of “3.” However, the large number of artifacts that scored a 1 or 2, pulled </w:t>
      </w:r>
      <w:r w:rsidR="00DC2A17">
        <w:t xml:space="preserve">each committee member’s </w:t>
      </w:r>
      <w:r>
        <w:t xml:space="preserve">overall average down below </w:t>
      </w:r>
      <w:r w:rsidR="00907DB2">
        <w:t>the “3” benchmark.</w:t>
      </w:r>
    </w:p>
    <w:p w:rsidR="00DC2A17" w:rsidRPr="00274DB1" w:rsidRDefault="003338EA" w:rsidP="0089766A">
      <w:pPr>
        <w:pStyle w:val="ListParagraph"/>
        <w:numPr>
          <w:ilvl w:val="0"/>
          <w:numId w:val="4"/>
        </w:numPr>
        <w:rPr>
          <w:u w:val="single"/>
        </w:rPr>
      </w:pPr>
      <w:r w:rsidRPr="00274DB1">
        <w:rPr>
          <w:u w:val="single"/>
        </w:rPr>
        <w:t>Comparison to Previous Year</w:t>
      </w:r>
      <w:r w:rsidR="00907DB2">
        <w:rPr>
          <w:u w:val="single"/>
        </w:rPr>
        <w:t>s’</w:t>
      </w:r>
      <w:r w:rsidR="00DC2A17" w:rsidRPr="00274DB1">
        <w:rPr>
          <w:u w:val="single"/>
        </w:rPr>
        <w:t xml:space="preserve"> Results</w:t>
      </w:r>
      <w:r w:rsidRPr="00274DB1">
        <w:rPr>
          <w:u w:val="single"/>
        </w:rPr>
        <w:t xml:space="preserve">: </w:t>
      </w:r>
    </w:p>
    <w:p w:rsidR="003338EA" w:rsidRPr="006D2431" w:rsidRDefault="00FA1394" w:rsidP="00DC2A17">
      <w:pPr>
        <w:pStyle w:val="ListParagraph"/>
      </w:pPr>
      <w:r>
        <w:t>In the past, the average</w:t>
      </w:r>
      <w:r w:rsidR="006D2431">
        <w:t xml:space="preserve"> number of students who score at least a “3” on the artifact rubric has stayed right around the benchmark of 70%. However, this year the average artifact score had a hu</w:t>
      </w:r>
      <w:r>
        <w:t xml:space="preserve">ge dip that placed AC students 12% below the </w:t>
      </w:r>
      <w:r w:rsidR="00DC2A17">
        <w:t xml:space="preserve">70% </w:t>
      </w:r>
      <w:r>
        <w:t xml:space="preserve">benchmark. </w:t>
      </w:r>
      <w:r w:rsidR="00E80BFF">
        <w:t>No committee member was able</w:t>
      </w:r>
      <w:r>
        <w:t xml:space="preserve"> to pinpoint what it was about this year’s artifacts that caused them to fall so much below the standard and/or previous year</w:t>
      </w:r>
      <w:r w:rsidR="00E80BFF">
        <w:t>s’</w:t>
      </w:r>
      <w:r>
        <w:t xml:space="preserve"> results. Therefore, it is the Assessment Coordinator’s judgment</w:t>
      </w:r>
      <w:r w:rsidR="00E80BFF">
        <w:t xml:space="preserve"> that the scoring deficiency can primarily be</w:t>
      </w:r>
      <w:r>
        <w:t xml:space="preserve"> attributed to artifacts and assignments that may not have best fit the qualification</w:t>
      </w:r>
      <w:r w:rsidR="00E80BFF">
        <w:t>s</w:t>
      </w:r>
      <w:r>
        <w:t xml:space="preserve"> outlined by the current </w:t>
      </w:r>
      <w:r w:rsidR="00E80BFF">
        <w:t xml:space="preserve">Communications </w:t>
      </w:r>
      <w:r>
        <w:t>rubric and committee training issues.</w:t>
      </w:r>
    </w:p>
    <w:p w:rsidR="003338EA" w:rsidRPr="00274DB1" w:rsidRDefault="000B442E" w:rsidP="0089766A">
      <w:pPr>
        <w:pStyle w:val="ListParagraph"/>
        <w:numPr>
          <w:ilvl w:val="0"/>
          <w:numId w:val="4"/>
        </w:numPr>
        <w:spacing w:after="0"/>
        <w:rPr>
          <w:u w:val="single"/>
        </w:rPr>
      </w:pPr>
      <w:r>
        <w:rPr>
          <w:u w:val="single"/>
        </w:rPr>
        <w:t xml:space="preserve">Strengths and </w:t>
      </w:r>
      <w:r w:rsidR="003338EA" w:rsidRPr="00274DB1">
        <w:rPr>
          <w:u w:val="single"/>
        </w:rPr>
        <w:t>Ro</w:t>
      </w:r>
      <w:r>
        <w:rPr>
          <w:u w:val="single"/>
        </w:rPr>
        <w:t>om for Improvement</w:t>
      </w:r>
      <w:r w:rsidR="003338EA" w:rsidRPr="00274DB1">
        <w:rPr>
          <w:u w:val="single"/>
        </w:rPr>
        <w:t>:</w:t>
      </w:r>
    </w:p>
    <w:p w:rsidR="000B442E" w:rsidRPr="000B442E" w:rsidRDefault="000B442E" w:rsidP="000B442E">
      <w:pPr>
        <w:pStyle w:val="ListParagraph"/>
        <w:numPr>
          <w:ilvl w:val="1"/>
          <w:numId w:val="4"/>
        </w:numPr>
        <w:spacing w:after="0"/>
      </w:pPr>
      <w:r>
        <w:rPr>
          <w:b/>
        </w:rPr>
        <w:t xml:space="preserve">Strength: </w:t>
      </w:r>
      <w:r>
        <w:t>Students typically follow the instructor’s assignment instructions.</w:t>
      </w:r>
    </w:p>
    <w:p w:rsidR="00D57470" w:rsidRDefault="00907DB2" w:rsidP="00D57470">
      <w:pPr>
        <w:pStyle w:val="ListParagraph"/>
        <w:numPr>
          <w:ilvl w:val="1"/>
          <w:numId w:val="4"/>
        </w:numPr>
        <w:spacing w:after="0"/>
      </w:pPr>
      <w:r w:rsidRPr="00907DB2">
        <w:rPr>
          <w:b/>
        </w:rPr>
        <w:t>I</w:t>
      </w:r>
      <w:r>
        <w:rPr>
          <w:b/>
        </w:rPr>
        <w:t>mprove</w:t>
      </w:r>
      <w:r w:rsidRPr="00907DB2">
        <w:rPr>
          <w:b/>
        </w:rPr>
        <w:t xml:space="preserve"> student </w:t>
      </w:r>
      <w:r w:rsidR="00350DED" w:rsidRPr="00907DB2">
        <w:rPr>
          <w:b/>
        </w:rPr>
        <w:t>punctuation, grammar, and logical thinking</w:t>
      </w:r>
      <w:r w:rsidR="000825BD">
        <w:t xml:space="preserve">: </w:t>
      </w:r>
      <w:r w:rsidR="009B7603">
        <w:t>The committee cited that there is a need to</w:t>
      </w:r>
      <w:r w:rsidR="00350DED">
        <w:t xml:space="preserve"> increase </w:t>
      </w:r>
      <w:r w:rsidR="009B7603">
        <w:t>public awareness about</w:t>
      </w:r>
      <w:r w:rsidR="00350DED">
        <w:t xml:space="preserve"> the Writer’s Corner</w:t>
      </w:r>
      <w:r w:rsidR="009B7603">
        <w:t xml:space="preserve"> and assure </w:t>
      </w:r>
      <w:r w:rsidR="006239CB">
        <w:t>instructo</w:t>
      </w:r>
      <w:r w:rsidR="000B442E">
        <w:t>r</w:t>
      </w:r>
      <w:r w:rsidR="009B7603">
        <w:t>s provide adequate feedback</w:t>
      </w:r>
      <w:r>
        <w:t xml:space="preserve"> regarding proper writing style and technique</w:t>
      </w:r>
      <w:r w:rsidR="00350DED">
        <w:t>.</w:t>
      </w:r>
    </w:p>
    <w:p w:rsidR="00D57470" w:rsidRPr="009B7603" w:rsidRDefault="009B7603" w:rsidP="009B7603">
      <w:pPr>
        <w:spacing w:after="0" w:line="240" w:lineRule="auto"/>
        <w:ind w:left="720"/>
        <w:rPr>
          <w:sz w:val="24"/>
          <w:szCs w:val="24"/>
          <w:u w:val="single"/>
        </w:rPr>
      </w:pPr>
      <w:r w:rsidRPr="009B7603">
        <w:rPr>
          <w:b/>
          <w:i/>
          <w:sz w:val="24"/>
          <w:szCs w:val="24"/>
        </w:rPr>
        <w:lastRenderedPageBreak/>
        <w:t>COMMUNICATION COMPETENCY ANALYSIS CONTINUED:</w:t>
      </w:r>
    </w:p>
    <w:p w:rsidR="00D57470" w:rsidRPr="00274DB1" w:rsidRDefault="00D57470" w:rsidP="00D57470">
      <w:pPr>
        <w:pStyle w:val="ListParagraph"/>
        <w:numPr>
          <w:ilvl w:val="0"/>
          <w:numId w:val="4"/>
        </w:numPr>
        <w:spacing w:after="0"/>
        <w:rPr>
          <w:u w:val="single"/>
        </w:rPr>
      </w:pPr>
      <w:r w:rsidRPr="00274DB1">
        <w:rPr>
          <w:u w:val="single"/>
        </w:rPr>
        <w:t xml:space="preserve">Room for Improvement </w:t>
      </w:r>
      <w:r w:rsidRPr="00274DB1">
        <w:rPr>
          <w:u w:val="single"/>
        </w:rPr>
        <w:tab/>
      </w:r>
      <w:r>
        <w:rPr>
          <w:u w:val="single"/>
        </w:rPr>
        <w:t>(Cont)</w:t>
      </w:r>
      <w:r w:rsidRPr="00274DB1">
        <w:rPr>
          <w:u w:val="single"/>
        </w:rPr>
        <w:t>:</w:t>
      </w:r>
    </w:p>
    <w:p w:rsidR="00DB33D7" w:rsidRDefault="00907DB2" w:rsidP="00DB33D7">
      <w:pPr>
        <w:pStyle w:val="ListParagraph"/>
        <w:numPr>
          <w:ilvl w:val="1"/>
          <w:numId w:val="4"/>
        </w:numPr>
        <w:spacing w:after="0"/>
      </w:pPr>
      <w:r w:rsidRPr="00907DB2">
        <w:rPr>
          <w:b/>
        </w:rPr>
        <w:t>Improve student ability to write a 5-parag</w:t>
      </w:r>
      <w:r>
        <w:rPr>
          <w:b/>
        </w:rPr>
        <w:t>ra</w:t>
      </w:r>
      <w:r w:rsidRPr="00907DB2">
        <w:rPr>
          <w:b/>
        </w:rPr>
        <w:t>ph essay</w:t>
      </w:r>
      <w:r w:rsidR="000825BD">
        <w:t>: The</w:t>
      </w:r>
      <w:r>
        <w:t xml:space="preserve"> committee suggested that a</w:t>
      </w:r>
      <w:r w:rsidR="00DB33D7">
        <w:t xml:space="preserve"> generic “how-to-guide” be created by the English Department or Library</w:t>
      </w:r>
      <w:r>
        <w:t>.</w:t>
      </w:r>
    </w:p>
    <w:p w:rsidR="00DB33D7" w:rsidRDefault="00DB33D7" w:rsidP="00E90E87">
      <w:pPr>
        <w:pStyle w:val="ListParagraph"/>
        <w:numPr>
          <w:ilvl w:val="2"/>
          <w:numId w:val="4"/>
        </w:numPr>
        <w:spacing w:after="0"/>
      </w:pPr>
      <w:r>
        <w:t>Assessment and Development Plan of Action: From the year 2011 forward, certificate students will not be included in the assessment process. However, it is still possible that students who have not completed English composition may be included in Communication assessment</w:t>
      </w:r>
      <w:r w:rsidR="00907DB2">
        <w:t>.</w:t>
      </w:r>
    </w:p>
    <w:p w:rsidR="00350DED" w:rsidRPr="00907DB2" w:rsidRDefault="000825BD" w:rsidP="00350DED">
      <w:pPr>
        <w:pStyle w:val="ListParagraph"/>
        <w:numPr>
          <w:ilvl w:val="1"/>
          <w:numId w:val="4"/>
        </w:numPr>
        <w:spacing w:after="0"/>
        <w:rPr>
          <w:b/>
          <w:u w:val="single"/>
        </w:rPr>
      </w:pPr>
      <w:r>
        <w:rPr>
          <w:b/>
        </w:rPr>
        <w:t>AC should r</w:t>
      </w:r>
      <w:r w:rsidR="00907DB2">
        <w:rPr>
          <w:b/>
        </w:rPr>
        <w:t>equire writing assignments across the curriculum</w:t>
      </w:r>
      <w:r>
        <w:t>.</w:t>
      </w:r>
    </w:p>
    <w:p w:rsidR="00076A2E" w:rsidRDefault="00350DED" w:rsidP="00E90E87">
      <w:pPr>
        <w:pStyle w:val="ListParagraph"/>
        <w:numPr>
          <w:ilvl w:val="2"/>
          <w:numId w:val="4"/>
        </w:numPr>
        <w:spacing w:after="0"/>
      </w:pPr>
      <w:r>
        <w:t xml:space="preserve">Assessment and Development Plan of Action: </w:t>
      </w:r>
    </w:p>
    <w:p w:rsidR="00350DED" w:rsidRDefault="00350DED" w:rsidP="00DB33D7">
      <w:pPr>
        <w:pStyle w:val="ListParagraph"/>
        <w:spacing w:after="0"/>
        <w:ind w:left="2160"/>
      </w:pPr>
      <w:r>
        <w:t>Although th</w:t>
      </w:r>
      <w:r w:rsidR="0006654E">
        <w:t>e committee</w:t>
      </w:r>
      <w:r>
        <w:t xml:space="preserve"> sentiment echoes the Community College Survey of Student Engagement (CCSSE)</w:t>
      </w:r>
      <w:r w:rsidR="00076A2E">
        <w:t xml:space="preserve"> findings that AC students are not producing as many research paper’s as other “large” community colleges</w:t>
      </w:r>
      <w:r>
        <w:t>, the intent of the General Education Assessment is not to specifically assess instructors or class content. As a result, students will now be double sampled, when necessary, in order to produce a more diverse body of artifacts (e.g. student work that may have only been used for critical thinking</w:t>
      </w:r>
      <w:r w:rsidR="00076A2E">
        <w:t>,</w:t>
      </w:r>
      <w:r>
        <w:t xml:space="preserve"> in the past</w:t>
      </w:r>
      <w:r w:rsidR="00076A2E">
        <w:t>,</w:t>
      </w:r>
      <w:r>
        <w:t xml:space="preserve"> may now also</w:t>
      </w:r>
      <w:r w:rsidR="00076A2E">
        <w:t xml:space="preserve"> be used for communication as long as it</w:t>
      </w:r>
      <w:r>
        <w:t xml:space="preserve"> meets the communication criteria so that students can truly be assessed across the curriculum).</w:t>
      </w:r>
    </w:p>
    <w:p w:rsidR="00FA1394" w:rsidRDefault="00907DB2" w:rsidP="0089766A">
      <w:pPr>
        <w:pStyle w:val="ListParagraph"/>
        <w:numPr>
          <w:ilvl w:val="1"/>
          <w:numId w:val="4"/>
        </w:numPr>
        <w:spacing w:after="0"/>
      </w:pPr>
      <w:r>
        <w:rPr>
          <w:b/>
        </w:rPr>
        <w:t>Provide better/clear instructions and increase student penmanship requirements</w:t>
      </w:r>
      <w:r w:rsidR="000825BD">
        <w:rPr>
          <w:b/>
        </w:rPr>
        <w:t xml:space="preserve">: </w:t>
      </w:r>
      <w:r w:rsidR="00FA1394">
        <w:t>The committe</w:t>
      </w:r>
      <w:r w:rsidR="00E80BFF">
        <w:t>e members noted that they had to speculate on assignment instructions and/or student work that was illegible</w:t>
      </w:r>
      <w:r>
        <w:t xml:space="preserve"> or difficult to read</w:t>
      </w:r>
      <w:r w:rsidR="00E80BFF">
        <w:t xml:space="preserve">. </w:t>
      </w:r>
      <w:r w:rsidR="00DB33D7">
        <w:t>As a result,</w:t>
      </w:r>
      <w:r w:rsidR="00E80BFF">
        <w:t xml:space="preserve"> the committee</w:t>
      </w:r>
      <w:r w:rsidR="00350DED">
        <w:t xml:space="preserve"> collectively scratched two </w:t>
      </w:r>
      <w:r w:rsidR="00E80BFF">
        <w:t xml:space="preserve">complete sets of artifacts due to </w:t>
      </w:r>
      <w:r>
        <w:t>unclear</w:t>
      </w:r>
      <w:r w:rsidR="00E80BFF">
        <w:t xml:space="preserve"> instructions and skip</w:t>
      </w:r>
      <w:r w:rsidR="00350DED">
        <w:t>ped</w:t>
      </w:r>
      <w:r w:rsidR="00E80BFF">
        <w:t xml:space="preserve"> three</w:t>
      </w:r>
      <w:r w:rsidR="00350DED">
        <w:t>, individual</w:t>
      </w:r>
      <w:r w:rsidR="00E80BFF">
        <w:t xml:space="preserve"> student assignments</w:t>
      </w:r>
      <w:r w:rsidR="00350DED">
        <w:t xml:space="preserve"> due to illegibility</w:t>
      </w:r>
      <w:r w:rsidR="00E80BFF">
        <w:t>. Additionally, one committee member skipped 5</w:t>
      </w:r>
      <w:r>
        <w:t xml:space="preserve"> additional</w:t>
      </w:r>
      <w:r w:rsidR="00E80BFF">
        <w:t xml:space="preserve"> artifacts, but the Assessments Coordinator opted to scratch these artifacts </w:t>
      </w:r>
      <w:r w:rsidR="00350DED">
        <w:t>as they were not rated by each committee member.</w:t>
      </w:r>
      <w:r w:rsidR="00DB33D7">
        <w:t xml:space="preserve"> </w:t>
      </w:r>
    </w:p>
    <w:p w:rsidR="00DB33D7" w:rsidRDefault="00E80BFF" w:rsidP="00E90E87">
      <w:pPr>
        <w:pStyle w:val="ListParagraph"/>
        <w:numPr>
          <w:ilvl w:val="2"/>
          <w:numId w:val="4"/>
        </w:numPr>
        <w:spacing w:after="0"/>
      </w:pPr>
      <w:r>
        <w:t xml:space="preserve">Assessment and Development Plan of Action: </w:t>
      </w:r>
    </w:p>
    <w:p w:rsidR="00E80BFF" w:rsidRDefault="00E80BFF" w:rsidP="00DB33D7">
      <w:pPr>
        <w:pStyle w:val="ListParagraph"/>
        <w:spacing w:after="0"/>
        <w:ind w:left="2160"/>
      </w:pPr>
      <w:r>
        <w:t xml:space="preserve">Assure that the committee </w:t>
      </w:r>
      <w:r w:rsidR="00350DED">
        <w:t>is aware</w:t>
      </w:r>
      <w:r>
        <w:t xml:space="preserve"> that if they have questions about an assignment</w:t>
      </w:r>
      <w:r w:rsidR="00350DED">
        <w:t>’</w:t>
      </w:r>
      <w:r>
        <w:t xml:space="preserve">s instructions, they need to contact either a committee co-chair or the Assessments Coordinator because the group must be consistent in the artifacts each group member assesses. The Assessments Coordinator will also </w:t>
      </w:r>
      <w:r w:rsidR="00DB33D7">
        <w:t>as</w:t>
      </w:r>
      <w:r>
        <w:t>sure that any future artifacts given to a committee have clear instructions.</w:t>
      </w:r>
    </w:p>
    <w:p w:rsidR="00E80BFF" w:rsidRPr="00907DB2" w:rsidRDefault="000825BD" w:rsidP="0089766A">
      <w:pPr>
        <w:pStyle w:val="ListParagraph"/>
        <w:numPr>
          <w:ilvl w:val="1"/>
          <w:numId w:val="4"/>
        </w:numPr>
        <w:spacing w:after="0"/>
        <w:rPr>
          <w:b/>
        </w:rPr>
      </w:pPr>
      <w:r>
        <w:rPr>
          <w:b/>
        </w:rPr>
        <w:t>AC should assess more speech artifacts</w:t>
      </w:r>
      <w:r w:rsidR="00907DB2">
        <w:t>.</w:t>
      </w:r>
    </w:p>
    <w:p w:rsidR="00DB33D7" w:rsidRDefault="00E80BFF" w:rsidP="00E90E87">
      <w:pPr>
        <w:pStyle w:val="ListParagraph"/>
        <w:numPr>
          <w:ilvl w:val="2"/>
          <w:numId w:val="4"/>
        </w:numPr>
        <w:spacing w:after="0"/>
      </w:pPr>
      <w:r>
        <w:t xml:space="preserve">Assessment and Development Plan of Action: </w:t>
      </w:r>
    </w:p>
    <w:p w:rsidR="00E80BFF" w:rsidRDefault="00E80BFF" w:rsidP="00DB33D7">
      <w:pPr>
        <w:pStyle w:val="ListParagraph"/>
        <w:spacing w:after="0"/>
        <w:ind w:left="2160"/>
      </w:pPr>
      <w:r>
        <w:t>Unfortunately, many introductory general education courses are not included because the students do not meet the 30 or more hour requirements set by the General Education Competency</w:t>
      </w:r>
      <w:r w:rsidR="00907DB2">
        <w:t xml:space="preserve"> or the instructors do not already video their students</w:t>
      </w:r>
      <w:r>
        <w:t xml:space="preserve">. However, the Assessments Coordinator contacted Heather Voran, </w:t>
      </w:r>
      <w:r w:rsidR="00DB33D7">
        <w:t>Instructor</w:t>
      </w:r>
      <w:r w:rsidR="00BE3F6A">
        <w:t xml:space="preserve"> for Teaching &amp; Learning in an attempt to better utilize online content and is willing to assist with videotaping as prompted by instructors.</w:t>
      </w:r>
    </w:p>
    <w:p w:rsidR="00907DB2" w:rsidRDefault="00907DB2" w:rsidP="004555FB">
      <w:pPr>
        <w:spacing w:after="0"/>
        <w:jc w:val="center"/>
        <w:rPr>
          <w:b/>
          <w:i/>
          <w:sz w:val="28"/>
          <w:szCs w:val="28"/>
        </w:rPr>
      </w:pPr>
    </w:p>
    <w:p w:rsidR="003F4F6D" w:rsidRDefault="004555FB" w:rsidP="004555FB">
      <w:pPr>
        <w:spacing w:after="0"/>
        <w:jc w:val="center"/>
        <w:rPr>
          <w:rStyle w:val="Hyperlink"/>
          <w:b/>
          <w:sz w:val="16"/>
          <w:szCs w:val="16"/>
        </w:rPr>
      </w:pPr>
      <w:r w:rsidRPr="004555FB">
        <w:rPr>
          <w:b/>
          <w:i/>
          <w:sz w:val="28"/>
          <w:szCs w:val="28"/>
        </w:rPr>
        <w:lastRenderedPageBreak/>
        <w:t xml:space="preserve">CRITICAL </w:t>
      </w:r>
      <w:bookmarkStart w:id="6" w:name="Critical_Thinking"/>
      <w:r w:rsidRPr="004555FB">
        <w:rPr>
          <w:b/>
          <w:i/>
          <w:sz w:val="28"/>
          <w:szCs w:val="28"/>
        </w:rPr>
        <w:t xml:space="preserve">THINKING COMPETENCY </w:t>
      </w:r>
      <w:bookmarkEnd w:id="6"/>
      <w:r w:rsidRPr="004555FB">
        <w:rPr>
          <w:b/>
          <w:i/>
          <w:sz w:val="28"/>
          <w:szCs w:val="28"/>
        </w:rPr>
        <w:t>ANALYSIS:</w:t>
      </w:r>
      <w:r w:rsidR="008032D9">
        <w:rPr>
          <w:i/>
        </w:rPr>
        <w:br/>
      </w:r>
      <w:hyperlink w:anchor="Topics_Covered" w:history="1">
        <w:r w:rsidR="008032D9" w:rsidRPr="0028588B">
          <w:rPr>
            <w:rStyle w:val="Hyperlink"/>
            <w:b/>
            <w:sz w:val="16"/>
            <w:szCs w:val="16"/>
          </w:rPr>
          <w:t>(Return to “Topics Covered”)</w:t>
        </w:r>
      </w:hyperlink>
    </w:p>
    <w:p w:rsidR="004555FB" w:rsidRPr="0050416B" w:rsidRDefault="004555FB" w:rsidP="008032D9">
      <w:pPr>
        <w:spacing w:after="0"/>
        <w:rPr>
          <w:i/>
        </w:rPr>
      </w:pPr>
    </w:p>
    <w:p w:rsidR="003F4F6D" w:rsidRPr="00623176" w:rsidRDefault="003F4F6D" w:rsidP="003F4F6D">
      <w:pPr>
        <w:numPr>
          <w:ilvl w:val="0"/>
          <w:numId w:val="5"/>
        </w:numPr>
        <w:spacing w:after="0" w:line="240" w:lineRule="auto"/>
        <w:rPr>
          <w:u w:val="single"/>
        </w:rPr>
      </w:pPr>
      <w:r w:rsidRPr="00623176">
        <w:rPr>
          <w:u w:val="single"/>
        </w:rPr>
        <w:t xml:space="preserve">Goal: </w:t>
      </w:r>
    </w:p>
    <w:p w:rsidR="00623176" w:rsidRPr="001253E0" w:rsidRDefault="003F4F6D" w:rsidP="00547B58">
      <w:pPr>
        <w:numPr>
          <w:ilvl w:val="1"/>
          <w:numId w:val="5"/>
        </w:numPr>
        <w:spacing w:after="0" w:line="240" w:lineRule="auto"/>
      </w:pPr>
      <w:r w:rsidRPr="001253E0">
        <w:t>60% of students will score a 3 or higher (competent) on a scale of 1-5</w:t>
      </w:r>
    </w:p>
    <w:p w:rsidR="003F4F6D" w:rsidRPr="00623176" w:rsidRDefault="003F4F6D" w:rsidP="003F4F6D">
      <w:pPr>
        <w:numPr>
          <w:ilvl w:val="0"/>
          <w:numId w:val="5"/>
        </w:numPr>
        <w:spacing w:after="0" w:line="240" w:lineRule="auto"/>
        <w:rPr>
          <w:u w:val="single"/>
        </w:rPr>
      </w:pPr>
      <w:r w:rsidRPr="00623176">
        <w:rPr>
          <w:u w:val="single"/>
        </w:rPr>
        <w:t>Results:</w:t>
      </w:r>
    </w:p>
    <w:p w:rsidR="003F4F6D" w:rsidRPr="00243B39" w:rsidRDefault="003F4F6D" w:rsidP="003F4F6D">
      <w:pPr>
        <w:numPr>
          <w:ilvl w:val="1"/>
          <w:numId w:val="5"/>
        </w:numPr>
        <w:spacing w:after="0" w:line="240" w:lineRule="auto"/>
      </w:pPr>
      <w:r w:rsidRPr="00243B39">
        <w:t>2007-2008 (N=91)</w:t>
      </w:r>
    </w:p>
    <w:p w:rsidR="003F4F6D" w:rsidRPr="00243B39" w:rsidRDefault="003F4F6D" w:rsidP="003F4F6D">
      <w:pPr>
        <w:numPr>
          <w:ilvl w:val="2"/>
          <w:numId w:val="5"/>
        </w:numPr>
        <w:spacing w:after="0" w:line="240" w:lineRule="auto"/>
      </w:pPr>
      <w:r w:rsidRPr="00243B39">
        <w:t>96% of students scored a 3 or higher*</w:t>
      </w:r>
    </w:p>
    <w:p w:rsidR="003F4F6D" w:rsidRPr="00243B39" w:rsidRDefault="00E90E87" w:rsidP="00E90E87">
      <w:pPr>
        <w:spacing w:after="0" w:line="240" w:lineRule="auto"/>
        <w:ind w:left="1440" w:firstLine="720"/>
      </w:pPr>
      <w:r>
        <w:t>(</w:t>
      </w:r>
      <w:r w:rsidR="003F4F6D" w:rsidRPr="00243B39">
        <w:t>Scoring system was changed mid-year</w:t>
      </w:r>
      <w:r>
        <w:t>)</w:t>
      </w:r>
    </w:p>
    <w:p w:rsidR="003F4F6D" w:rsidRPr="00243B39" w:rsidRDefault="003F4F6D" w:rsidP="003F4F6D">
      <w:pPr>
        <w:numPr>
          <w:ilvl w:val="1"/>
          <w:numId w:val="5"/>
        </w:numPr>
        <w:spacing w:after="0" w:line="240" w:lineRule="auto"/>
      </w:pPr>
      <w:r w:rsidRPr="00243B39">
        <w:t>2008-2009 (N=97)</w:t>
      </w:r>
    </w:p>
    <w:p w:rsidR="003F4F6D" w:rsidRDefault="003F4F6D" w:rsidP="003F4F6D">
      <w:pPr>
        <w:numPr>
          <w:ilvl w:val="2"/>
          <w:numId w:val="5"/>
        </w:numPr>
        <w:spacing w:after="0" w:line="240" w:lineRule="auto"/>
      </w:pPr>
      <w:r w:rsidRPr="00243B39">
        <w:t>95% of students scored a 3 or higher</w:t>
      </w:r>
    </w:p>
    <w:p w:rsidR="003F4F6D" w:rsidRDefault="003F4F6D" w:rsidP="003F4F6D">
      <w:pPr>
        <w:numPr>
          <w:ilvl w:val="1"/>
          <w:numId w:val="5"/>
        </w:numPr>
        <w:spacing w:after="0" w:line="240" w:lineRule="auto"/>
      </w:pPr>
      <w:r>
        <w:t>2009-2010 (N=108)</w:t>
      </w:r>
    </w:p>
    <w:p w:rsidR="003F4F6D" w:rsidRPr="00243B39" w:rsidRDefault="003F4F6D" w:rsidP="003F4F6D">
      <w:pPr>
        <w:numPr>
          <w:ilvl w:val="2"/>
          <w:numId w:val="5"/>
        </w:numPr>
        <w:spacing w:after="0" w:line="240" w:lineRule="auto"/>
      </w:pPr>
      <w:r>
        <w:t>96% of students scored a 3 or higher</w:t>
      </w:r>
    </w:p>
    <w:p w:rsidR="003F4F6D" w:rsidRPr="000D066F" w:rsidRDefault="00C11AA8" w:rsidP="003F4F6D">
      <w:pPr>
        <w:numPr>
          <w:ilvl w:val="1"/>
          <w:numId w:val="5"/>
        </w:numPr>
        <w:spacing w:after="0" w:line="240" w:lineRule="auto"/>
      </w:pPr>
      <w:r w:rsidRPr="000D066F">
        <w:t xml:space="preserve">2010-2011 (N = </w:t>
      </w:r>
      <w:r w:rsidR="000D066F" w:rsidRPr="000D066F">
        <w:t>99</w:t>
      </w:r>
      <w:r w:rsidRPr="000D066F">
        <w:t>)</w:t>
      </w:r>
    </w:p>
    <w:p w:rsidR="00C11AA8" w:rsidRDefault="00C11AA8" w:rsidP="00C11AA8">
      <w:pPr>
        <w:numPr>
          <w:ilvl w:val="2"/>
          <w:numId w:val="5"/>
        </w:numPr>
        <w:spacing w:after="0" w:line="240" w:lineRule="auto"/>
        <w:rPr>
          <w:b/>
        </w:rPr>
      </w:pPr>
      <w:r w:rsidRPr="00FA4195">
        <w:rPr>
          <w:b/>
        </w:rPr>
        <w:t>9</w:t>
      </w:r>
      <w:r w:rsidR="008B2711" w:rsidRPr="00FA4195">
        <w:rPr>
          <w:b/>
        </w:rPr>
        <w:t>3</w:t>
      </w:r>
      <w:r w:rsidRPr="00FA4195">
        <w:rPr>
          <w:b/>
        </w:rPr>
        <w:t>% of students scored a 3 or higher</w:t>
      </w:r>
    </w:p>
    <w:p w:rsidR="00623176" w:rsidRPr="00FA4195" w:rsidRDefault="00623176" w:rsidP="00623176">
      <w:pPr>
        <w:spacing w:after="0" w:line="240" w:lineRule="auto"/>
        <w:ind w:left="2160"/>
        <w:rPr>
          <w:b/>
        </w:rPr>
      </w:pPr>
    </w:p>
    <w:tbl>
      <w:tblPr>
        <w:tblW w:w="8221" w:type="dxa"/>
        <w:tblInd w:w="93" w:type="dxa"/>
        <w:tblLook w:val="04A0" w:firstRow="1" w:lastRow="0" w:firstColumn="1" w:lastColumn="0" w:noHBand="0" w:noVBand="1"/>
      </w:tblPr>
      <w:tblGrid>
        <w:gridCol w:w="1368"/>
        <w:gridCol w:w="1228"/>
        <w:gridCol w:w="1095"/>
        <w:gridCol w:w="1261"/>
        <w:gridCol w:w="825"/>
        <w:gridCol w:w="1387"/>
        <w:gridCol w:w="1057"/>
      </w:tblGrid>
      <w:tr w:rsidR="003F4F6D" w:rsidRPr="00243B39" w:rsidTr="00C11AA8">
        <w:trPr>
          <w:trHeight w:val="255"/>
        </w:trPr>
        <w:tc>
          <w:tcPr>
            <w:tcW w:w="8221" w:type="dxa"/>
            <w:gridSpan w:val="7"/>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3F4F6D" w:rsidRPr="00243B39" w:rsidRDefault="003637C7" w:rsidP="003F4F6D">
            <w:pPr>
              <w:jc w:val="center"/>
              <w:rPr>
                <w:rFonts w:ascii="Arial" w:hAnsi="Arial" w:cs="Arial"/>
                <w:b/>
                <w:bCs/>
                <w:sz w:val="20"/>
                <w:szCs w:val="20"/>
              </w:rPr>
            </w:pPr>
            <w:r>
              <w:rPr>
                <w:rFonts w:ascii="Arial" w:hAnsi="Arial" w:cs="Arial"/>
                <w:b/>
                <w:bCs/>
                <w:sz w:val="20"/>
                <w:szCs w:val="20"/>
              </w:rPr>
              <w:t xml:space="preserve">Critical Thinking Competency </w:t>
            </w:r>
            <w:r w:rsidRPr="0058394E">
              <w:rPr>
                <w:rFonts w:ascii="Arial" w:hAnsi="Arial" w:cs="Arial"/>
                <w:b/>
                <w:bCs/>
                <w:sz w:val="20"/>
                <w:szCs w:val="20"/>
              </w:rPr>
              <w:t xml:space="preserve">Committee </w:t>
            </w:r>
            <w:r>
              <w:rPr>
                <w:rFonts w:ascii="Arial" w:hAnsi="Arial" w:cs="Arial"/>
                <w:b/>
                <w:bCs/>
                <w:sz w:val="20"/>
                <w:szCs w:val="20"/>
              </w:rPr>
              <w:t xml:space="preserve">Artifact </w:t>
            </w:r>
            <w:r w:rsidRPr="0058394E">
              <w:rPr>
                <w:rFonts w:ascii="Arial" w:hAnsi="Arial" w:cs="Arial"/>
                <w:b/>
                <w:bCs/>
                <w:sz w:val="20"/>
                <w:szCs w:val="20"/>
              </w:rPr>
              <w:t>Evaluation</w:t>
            </w:r>
            <w:r>
              <w:rPr>
                <w:rFonts w:ascii="Arial" w:hAnsi="Arial" w:cs="Arial"/>
                <w:b/>
                <w:bCs/>
                <w:sz w:val="20"/>
                <w:szCs w:val="20"/>
              </w:rPr>
              <w:t xml:space="preserve"> Synopsis</w:t>
            </w:r>
          </w:p>
        </w:tc>
      </w:tr>
      <w:tr w:rsidR="003F4F6D" w:rsidRPr="00243B39" w:rsidTr="00C11AA8">
        <w:trPr>
          <w:trHeight w:val="510"/>
        </w:trPr>
        <w:tc>
          <w:tcPr>
            <w:tcW w:w="1368" w:type="dxa"/>
            <w:tcBorders>
              <w:top w:val="nil"/>
              <w:left w:val="single" w:sz="4" w:space="0" w:color="auto"/>
              <w:bottom w:val="nil"/>
              <w:right w:val="single" w:sz="4" w:space="0" w:color="auto"/>
            </w:tcBorders>
            <w:shd w:val="clear" w:color="000000" w:fill="BFBFBF"/>
            <w:noWrap/>
            <w:vAlign w:val="bottom"/>
            <w:hideMark/>
          </w:tcPr>
          <w:p w:rsidR="003F4F6D" w:rsidRPr="003637C7" w:rsidRDefault="003F4F6D" w:rsidP="003F4F6D">
            <w:pPr>
              <w:jc w:val="center"/>
              <w:rPr>
                <w:rFonts w:ascii="Arial" w:hAnsi="Arial" w:cs="Arial"/>
                <w:b/>
                <w:sz w:val="20"/>
                <w:szCs w:val="20"/>
              </w:rPr>
            </w:pPr>
            <w:r w:rsidRPr="003637C7">
              <w:rPr>
                <w:rFonts w:ascii="Arial" w:hAnsi="Arial" w:cs="Arial"/>
                <w:b/>
                <w:sz w:val="20"/>
                <w:szCs w:val="20"/>
              </w:rPr>
              <w:t> </w:t>
            </w:r>
            <w:r w:rsidR="003637C7" w:rsidRPr="003637C7">
              <w:rPr>
                <w:rFonts w:ascii="Arial" w:hAnsi="Arial" w:cs="Arial"/>
                <w:b/>
                <w:sz w:val="20"/>
                <w:szCs w:val="20"/>
              </w:rPr>
              <w:t>Year</w:t>
            </w:r>
          </w:p>
        </w:tc>
        <w:tc>
          <w:tcPr>
            <w:tcW w:w="1228" w:type="dxa"/>
            <w:tcBorders>
              <w:top w:val="nil"/>
              <w:left w:val="nil"/>
              <w:bottom w:val="nil"/>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Exemplary</w:t>
            </w:r>
          </w:p>
        </w:tc>
        <w:tc>
          <w:tcPr>
            <w:tcW w:w="1095" w:type="dxa"/>
            <w:tcBorders>
              <w:top w:val="nil"/>
              <w:left w:val="nil"/>
              <w:bottom w:val="nil"/>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Excellent</w:t>
            </w:r>
          </w:p>
        </w:tc>
        <w:tc>
          <w:tcPr>
            <w:tcW w:w="1261" w:type="dxa"/>
            <w:tcBorders>
              <w:top w:val="nil"/>
              <w:left w:val="nil"/>
              <w:bottom w:val="nil"/>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Competent</w:t>
            </w:r>
          </w:p>
        </w:tc>
        <w:tc>
          <w:tcPr>
            <w:tcW w:w="825" w:type="dxa"/>
            <w:tcBorders>
              <w:top w:val="nil"/>
              <w:left w:val="nil"/>
              <w:bottom w:val="nil"/>
              <w:right w:val="single" w:sz="4" w:space="0" w:color="auto"/>
            </w:tcBorders>
            <w:shd w:val="clear" w:color="000000" w:fill="C0C0C0"/>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 xml:space="preserve">Needs </w:t>
            </w:r>
            <w:r w:rsidR="00CC66BC" w:rsidRPr="00243B39">
              <w:rPr>
                <w:rFonts w:ascii="Arial" w:hAnsi="Arial" w:cs="Arial"/>
                <w:b/>
                <w:bCs/>
                <w:sz w:val="20"/>
                <w:szCs w:val="20"/>
              </w:rPr>
              <w:t>W</w:t>
            </w:r>
            <w:r w:rsidR="00CC66BC">
              <w:rPr>
                <w:rFonts w:ascii="Arial" w:hAnsi="Arial" w:cs="Arial"/>
                <w:b/>
                <w:bCs/>
                <w:sz w:val="20"/>
                <w:szCs w:val="20"/>
              </w:rPr>
              <w:t>ork</w:t>
            </w:r>
          </w:p>
        </w:tc>
        <w:tc>
          <w:tcPr>
            <w:tcW w:w="1387" w:type="dxa"/>
            <w:tcBorders>
              <w:top w:val="nil"/>
              <w:left w:val="nil"/>
              <w:bottom w:val="nil"/>
              <w:right w:val="single" w:sz="4" w:space="0" w:color="auto"/>
            </w:tcBorders>
            <w:shd w:val="clear" w:color="000000" w:fill="C0C0C0"/>
            <w:vAlign w:val="bottom"/>
            <w:hideMark/>
          </w:tcPr>
          <w:p w:rsidR="003F4F6D" w:rsidRPr="00243B39" w:rsidRDefault="003F4F6D" w:rsidP="003F4F6D">
            <w:pPr>
              <w:jc w:val="center"/>
              <w:rPr>
                <w:rFonts w:ascii="Arial" w:hAnsi="Arial" w:cs="Arial"/>
                <w:b/>
                <w:bCs/>
                <w:sz w:val="18"/>
                <w:szCs w:val="18"/>
              </w:rPr>
            </w:pPr>
            <w:r w:rsidRPr="00243B39">
              <w:rPr>
                <w:rFonts w:ascii="Arial" w:hAnsi="Arial" w:cs="Arial"/>
                <w:b/>
                <w:bCs/>
                <w:sz w:val="18"/>
                <w:szCs w:val="18"/>
              </w:rPr>
              <w:t>Unacceptable</w:t>
            </w:r>
          </w:p>
        </w:tc>
        <w:tc>
          <w:tcPr>
            <w:tcW w:w="1057" w:type="dxa"/>
            <w:tcBorders>
              <w:top w:val="nil"/>
              <w:left w:val="nil"/>
              <w:bottom w:val="nil"/>
              <w:right w:val="single" w:sz="4" w:space="0" w:color="auto"/>
            </w:tcBorders>
            <w:shd w:val="clear" w:color="000000" w:fill="BFBFBF"/>
            <w:noWrap/>
            <w:vAlign w:val="bottom"/>
            <w:hideMark/>
          </w:tcPr>
          <w:p w:rsidR="003F4F6D" w:rsidRPr="00243B39" w:rsidRDefault="003F4F6D" w:rsidP="003F4F6D">
            <w:pPr>
              <w:jc w:val="center"/>
              <w:rPr>
                <w:rFonts w:ascii="Arial" w:hAnsi="Arial" w:cs="Arial"/>
                <w:b/>
                <w:bCs/>
                <w:sz w:val="18"/>
                <w:szCs w:val="18"/>
              </w:rPr>
            </w:pPr>
            <w:r w:rsidRPr="00243B39">
              <w:rPr>
                <w:rFonts w:ascii="Arial" w:hAnsi="Arial" w:cs="Arial"/>
                <w:b/>
                <w:bCs/>
                <w:sz w:val="18"/>
                <w:szCs w:val="18"/>
              </w:rPr>
              <w:t># Students</w:t>
            </w:r>
          </w:p>
        </w:tc>
      </w:tr>
      <w:tr w:rsidR="003F4F6D" w:rsidRPr="00243B39" w:rsidTr="00C11AA8">
        <w:trPr>
          <w:trHeight w:val="255"/>
        </w:trPr>
        <w:tc>
          <w:tcPr>
            <w:tcW w:w="1368" w:type="dxa"/>
            <w:tcBorders>
              <w:top w:val="nil"/>
              <w:left w:val="single" w:sz="4" w:space="0" w:color="auto"/>
              <w:bottom w:val="single" w:sz="4" w:space="0" w:color="auto"/>
              <w:right w:val="single" w:sz="4" w:space="0" w:color="auto"/>
            </w:tcBorders>
            <w:shd w:val="clear" w:color="000000" w:fill="BFBFBF"/>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 </w:t>
            </w:r>
          </w:p>
        </w:tc>
        <w:tc>
          <w:tcPr>
            <w:tcW w:w="1228" w:type="dxa"/>
            <w:tcBorders>
              <w:top w:val="nil"/>
              <w:left w:val="nil"/>
              <w:bottom w:val="single" w:sz="4" w:space="0" w:color="auto"/>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5</w:t>
            </w:r>
          </w:p>
        </w:tc>
        <w:tc>
          <w:tcPr>
            <w:tcW w:w="1095" w:type="dxa"/>
            <w:tcBorders>
              <w:top w:val="nil"/>
              <w:left w:val="nil"/>
              <w:bottom w:val="single" w:sz="4" w:space="0" w:color="auto"/>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4</w:t>
            </w:r>
          </w:p>
        </w:tc>
        <w:tc>
          <w:tcPr>
            <w:tcW w:w="1261" w:type="dxa"/>
            <w:tcBorders>
              <w:top w:val="nil"/>
              <w:left w:val="nil"/>
              <w:bottom w:val="single" w:sz="4" w:space="0" w:color="auto"/>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3</w:t>
            </w:r>
          </w:p>
        </w:tc>
        <w:tc>
          <w:tcPr>
            <w:tcW w:w="825" w:type="dxa"/>
            <w:tcBorders>
              <w:top w:val="nil"/>
              <w:left w:val="nil"/>
              <w:bottom w:val="single" w:sz="4" w:space="0" w:color="auto"/>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2</w:t>
            </w:r>
          </w:p>
        </w:tc>
        <w:tc>
          <w:tcPr>
            <w:tcW w:w="1387" w:type="dxa"/>
            <w:tcBorders>
              <w:top w:val="nil"/>
              <w:left w:val="nil"/>
              <w:bottom w:val="single" w:sz="4" w:space="0" w:color="auto"/>
              <w:right w:val="single" w:sz="4" w:space="0" w:color="auto"/>
            </w:tcBorders>
            <w:shd w:val="clear" w:color="000000" w:fill="C0C0C0"/>
            <w:noWrap/>
            <w:vAlign w:val="bottom"/>
            <w:hideMark/>
          </w:tcPr>
          <w:p w:rsidR="003F4F6D" w:rsidRPr="00243B39" w:rsidRDefault="003F4F6D" w:rsidP="003F4F6D">
            <w:pPr>
              <w:jc w:val="center"/>
              <w:rPr>
                <w:rFonts w:ascii="Arial" w:hAnsi="Arial" w:cs="Arial"/>
                <w:b/>
                <w:bCs/>
                <w:sz w:val="20"/>
                <w:szCs w:val="20"/>
              </w:rPr>
            </w:pPr>
            <w:r w:rsidRPr="00243B39">
              <w:rPr>
                <w:rFonts w:ascii="Arial" w:hAnsi="Arial" w:cs="Arial"/>
                <w:b/>
                <w:bCs/>
                <w:sz w:val="20"/>
                <w:szCs w:val="20"/>
              </w:rPr>
              <w:t>1</w:t>
            </w:r>
          </w:p>
        </w:tc>
        <w:tc>
          <w:tcPr>
            <w:tcW w:w="1057" w:type="dxa"/>
            <w:tcBorders>
              <w:top w:val="nil"/>
              <w:left w:val="nil"/>
              <w:bottom w:val="single" w:sz="4" w:space="0" w:color="auto"/>
              <w:right w:val="single" w:sz="4" w:space="0" w:color="auto"/>
            </w:tcBorders>
            <w:shd w:val="clear" w:color="000000" w:fill="BFBFBF"/>
            <w:noWrap/>
            <w:vAlign w:val="bottom"/>
            <w:hideMark/>
          </w:tcPr>
          <w:p w:rsidR="003F4F6D" w:rsidRPr="00243B39" w:rsidRDefault="003F4F6D" w:rsidP="003F4F6D">
            <w:pPr>
              <w:jc w:val="center"/>
              <w:rPr>
                <w:rFonts w:ascii="Arial" w:hAnsi="Arial" w:cs="Arial"/>
                <w:b/>
                <w:bCs/>
                <w:sz w:val="18"/>
                <w:szCs w:val="18"/>
              </w:rPr>
            </w:pPr>
            <w:r w:rsidRPr="00243B39">
              <w:rPr>
                <w:rFonts w:ascii="Arial" w:hAnsi="Arial" w:cs="Arial"/>
                <w:b/>
                <w:bCs/>
                <w:sz w:val="18"/>
                <w:szCs w:val="18"/>
              </w:rPr>
              <w:t>Assessed</w:t>
            </w:r>
          </w:p>
        </w:tc>
      </w:tr>
      <w:tr w:rsidR="003F4F6D" w:rsidRPr="00243B39" w:rsidTr="00C11AA8">
        <w:trPr>
          <w:trHeight w:val="255"/>
        </w:trPr>
        <w:tc>
          <w:tcPr>
            <w:tcW w:w="1368" w:type="dxa"/>
            <w:vMerge w:val="restart"/>
            <w:tcBorders>
              <w:top w:val="nil"/>
              <w:left w:val="single" w:sz="4" w:space="0" w:color="auto"/>
              <w:bottom w:val="single" w:sz="4" w:space="0" w:color="000000"/>
              <w:right w:val="single" w:sz="4" w:space="0" w:color="auto"/>
            </w:tcBorders>
            <w:shd w:val="clear" w:color="000000" w:fill="B8CCE4"/>
            <w:noWrap/>
            <w:hideMark/>
          </w:tcPr>
          <w:p w:rsidR="003F4F6D" w:rsidRPr="00243B39" w:rsidRDefault="003F4F6D" w:rsidP="00C11AA8">
            <w:pPr>
              <w:jc w:val="center"/>
              <w:rPr>
                <w:rFonts w:ascii="Arial" w:hAnsi="Arial" w:cs="Arial"/>
                <w:b/>
                <w:bCs/>
                <w:sz w:val="20"/>
                <w:szCs w:val="20"/>
              </w:rPr>
            </w:pPr>
            <w:r w:rsidRPr="00243B39">
              <w:rPr>
                <w:rFonts w:ascii="Arial" w:hAnsi="Arial" w:cs="Arial"/>
                <w:b/>
                <w:bCs/>
                <w:sz w:val="20"/>
                <w:szCs w:val="20"/>
              </w:rPr>
              <w:t>2007-2008</w:t>
            </w:r>
            <w:r w:rsidR="003637C7">
              <w:rPr>
                <w:rFonts w:ascii="Arial" w:hAnsi="Arial" w:cs="Arial"/>
                <w:b/>
                <w:bCs/>
                <w:sz w:val="20"/>
                <w:szCs w:val="20"/>
              </w:rPr>
              <w:br/>
            </w:r>
            <w:r w:rsidR="003637C7" w:rsidRPr="003637C7">
              <w:rPr>
                <w:rFonts w:ascii="Arial" w:hAnsi="Arial" w:cs="Arial"/>
                <w:b/>
                <w:bCs/>
                <w:sz w:val="18"/>
                <w:szCs w:val="18"/>
              </w:rPr>
              <w:t>Number and Per</w:t>
            </w:r>
            <w:r w:rsidR="003637C7">
              <w:rPr>
                <w:rFonts w:ascii="Arial" w:hAnsi="Arial" w:cs="Arial"/>
                <w:b/>
                <w:bCs/>
                <w:sz w:val="18"/>
                <w:szCs w:val="18"/>
              </w:rPr>
              <w:t>c</w:t>
            </w:r>
            <w:r w:rsidR="003637C7" w:rsidRPr="003637C7">
              <w:rPr>
                <w:rFonts w:ascii="Arial" w:hAnsi="Arial" w:cs="Arial"/>
                <w:b/>
                <w:bCs/>
                <w:sz w:val="18"/>
                <w:szCs w:val="18"/>
              </w:rPr>
              <w:t>entage</w:t>
            </w:r>
          </w:p>
        </w:tc>
        <w:tc>
          <w:tcPr>
            <w:tcW w:w="1228" w:type="dxa"/>
            <w:tcBorders>
              <w:top w:val="nil"/>
              <w:left w:val="nil"/>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5</w:t>
            </w:r>
          </w:p>
        </w:tc>
        <w:tc>
          <w:tcPr>
            <w:tcW w:w="1095" w:type="dxa"/>
            <w:tcBorders>
              <w:top w:val="nil"/>
              <w:left w:val="nil"/>
              <w:bottom w:val="nil"/>
              <w:right w:val="nil"/>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57</w:t>
            </w:r>
          </w:p>
        </w:tc>
        <w:tc>
          <w:tcPr>
            <w:tcW w:w="1261" w:type="dxa"/>
            <w:tcBorders>
              <w:top w:val="nil"/>
              <w:left w:val="single" w:sz="4" w:space="0" w:color="auto"/>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25</w:t>
            </w:r>
          </w:p>
        </w:tc>
        <w:tc>
          <w:tcPr>
            <w:tcW w:w="825" w:type="dxa"/>
            <w:tcBorders>
              <w:top w:val="nil"/>
              <w:left w:val="nil"/>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4</w:t>
            </w:r>
          </w:p>
        </w:tc>
        <w:tc>
          <w:tcPr>
            <w:tcW w:w="1387" w:type="dxa"/>
            <w:tcBorders>
              <w:top w:val="nil"/>
              <w:left w:val="nil"/>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0</w:t>
            </w:r>
          </w:p>
        </w:tc>
        <w:tc>
          <w:tcPr>
            <w:tcW w:w="10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91</w:t>
            </w:r>
          </w:p>
        </w:tc>
      </w:tr>
      <w:tr w:rsidR="003F4F6D" w:rsidRPr="00243B39" w:rsidTr="00F75EB7">
        <w:trPr>
          <w:trHeight w:val="287"/>
        </w:trPr>
        <w:tc>
          <w:tcPr>
            <w:tcW w:w="1368" w:type="dxa"/>
            <w:vMerge/>
            <w:tcBorders>
              <w:top w:val="nil"/>
              <w:left w:val="single" w:sz="4" w:space="0" w:color="auto"/>
              <w:bottom w:val="single" w:sz="4" w:space="0" w:color="000000"/>
              <w:right w:val="single" w:sz="4" w:space="0" w:color="auto"/>
            </w:tcBorders>
            <w:vAlign w:val="center"/>
            <w:hideMark/>
          </w:tcPr>
          <w:p w:rsidR="003F4F6D" w:rsidRPr="00243B39" w:rsidRDefault="003F4F6D" w:rsidP="003F4F6D">
            <w:pPr>
              <w:rPr>
                <w:rFonts w:ascii="Arial" w:hAnsi="Arial" w:cs="Arial"/>
                <w:b/>
                <w:bCs/>
                <w:sz w:val="20"/>
                <w:szCs w:val="20"/>
              </w:rPr>
            </w:pPr>
          </w:p>
        </w:tc>
        <w:tc>
          <w:tcPr>
            <w:tcW w:w="1228" w:type="dxa"/>
            <w:tcBorders>
              <w:top w:val="nil"/>
              <w:left w:val="nil"/>
              <w:bottom w:val="single" w:sz="4" w:space="0" w:color="auto"/>
              <w:right w:val="single" w:sz="4" w:space="0" w:color="auto"/>
            </w:tcBorders>
            <w:shd w:val="clear" w:color="auto" w:fill="auto"/>
            <w:noWrap/>
            <w:vAlign w:val="center"/>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5%</w:t>
            </w:r>
          </w:p>
        </w:tc>
        <w:tc>
          <w:tcPr>
            <w:tcW w:w="1095" w:type="dxa"/>
            <w:tcBorders>
              <w:top w:val="nil"/>
              <w:left w:val="nil"/>
              <w:bottom w:val="single" w:sz="4" w:space="0" w:color="auto"/>
              <w:right w:val="nil"/>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63%</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27%</w:t>
            </w:r>
          </w:p>
        </w:tc>
        <w:tc>
          <w:tcPr>
            <w:tcW w:w="825" w:type="dxa"/>
            <w:tcBorders>
              <w:top w:val="nil"/>
              <w:left w:val="nil"/>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4%</w:t>
            </w:r>
          </w:p>
        </w:tc>
        <w:tc>
          <w:tcPr>
            <w:tcW w:w="1387" w:type="dxa"/>
            <w:tcBorders>
              <w:top w:val="nil"/>
              <w:left w:val="nil"/>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0%</w:t>
            </w:r>
          </w:p>
        </w:tc>
        <w:tc>
          <w:tcPr>
            <w:tcW w:w="1057" w:type="dxa"/>
            <w:vMerge/>
            <w:tcBorders>
              <w:top w:val="nil"/>
              <w:left w:val="single" w:sz="4" w:space="0" w:color="auto"/>
              <w:bottom w:val="single" w:sz="4" w:space="0" w:color="000000"/>
              <w:right w:val="single" w:sz="4" w:space="0" w:color="auto"/>
            </w:tcBorders>
            <w:vAlign w:val="center"/>
            <w:hideMark/>
          </w:tcPr>
          <w:p w:rsidR="003F4F6D" w:rsidRPr="00243B39" w:rsidRDefault="003F4F6D" w:rsidP="003F4F6D">
            <w:pPr>
              <w:rPr>
                <w:rFonts w:ascii="Arial" w:hAnsi="Arial" w:cs="Arial"/>
                <w:sz w:val="20"/>
                <w:szCs w:val="20"/>
              </w:rPr>
            </w:pPr>
          </w:p>
        </w:tc>
      </w:tr>
      <w:tr w:rsidR="003F4F6D" w:rsidRPr="00243B39" w:rsidTr="00C11AA8">
        <w:trPr>
          <w:trHeight w:val="255"/>
        </w:trPr>
        <w:tc>
          <w:tcPr>
            <w:tcW w:w="1368" w:type="dxa"/>
            <w:vMerge w:val="restart"/>
            <w:tcBorders>
              <w:top w:val="nil"/>
              <w:left w:val="single" w:sz="4" w:space="0" w:color="auto"/>
              <w:bottom w:val="single" w:sz="4" w:space="0" w:color="000000"/>
              <w:right w:val="single" w:sz="4" w:space="0" w:color="auto"/>
            </w:tcBorders>
            <w:shd w:val="clear" w:color="000000" w:fill="E6B9B8"/>
            <w:noWrap/>
            <w:hideMark/>
          </w:tcPr>
          <w:p w:rsidR="003F4F6D" w:rsidRPr="00243B39" w:rsidRDefault="003F4F6D" w:rsidP="00C11AA8">
            <w:pPr>
              <w:jc w:val="center"/>
              <w:rPr>
                <w:rFonts w:ascii="Arial" w:hAnsi="Arial" w:cs="Arial"/>
                <w:b/>
                <w:bCs/>
                <w:sz w:val="20"/>
                <w:szCs w:val="20"/>
              </w:rPr>
            </w:pPr>
            <w:r w:rsidRPr="00243B39">
              <w:rPr>
                <w:rFonts w:ascii="Arial" w:hAnsi="Arial" w:cs="Arial"/>
                <w:b/>
                <w:bCs/>
                <w:sz w:val="20"/>
                <w:szCs w:val="20"/>
              </w:rPr>
              <w:t>2008-2009</w:t>
            </w:r>
            <w:r w:rsidR="003637C7">
              <w:rPr>
                <w:rFonts w:ascii="Arial" w:hAnsi="Arial" w:cs="Arial"/>
                <w:b/>
                <w:bCs/>
                <w:sz w:val="20"/>
                <w:szCs w:val="20"/>
              </w:rPr>
              <w:br/>
            </w:r>
            <w:r w:rsidR="003637C7" w:rsidRPr="003637C7">
              <w:rPr>
                <w:rFonts w:ascii="Arial" w:hAnsi="Arial" w:cs="Arial"/>
                <w:b/>
                <w:bCs/>
                <w:sz w:val="18"/>
                <w:szCs w:val="18"/>
              </w:rPr>
              <w:t>Number and Per</w:t>
            </w:r>
            <w:r w:rsidR="003637C7">
              <w:rPr>
                <w:rFonts w:ascii="Arial" w:hAnsi="Arial" w:cs="Arial"/>
                <w:b/>
                <w:bCs/>
                <w:sz w:val="18"/>
                <w:szCs w:val="18"/>
              </w:rPr>
              <w:t>c</w:t>
            </w:r>
            <w:r w:rsidR="003637C7" w:rsidRPr="003637C7">
              <w:rPr>
                <w:rFonts w:ascii="Arial" w:hAnsi="Arial" w:cs="Arial"/>
                <w:b/>
                <w:bCs/>
                <w:sz w:val="18"/>
                <w:szCs w:val="18"/>
              </w:rPr>
              <w:t>entage</w:t>
            </w:r>
          </w:p>
        </w:tc>
        <w:tc>
          <w:tcPr>
            <w:tcW w:w="1228" w:type="dxa"/>
            <w:tcBorders>
              <w:top w:val="nil"/>
              <w:left w:val="nil"/>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18</w:t>
            </w:r>
          </w:p>
        </w:tc>
        <w:tc>
          <w:tcPr>
            <w:tcW w:w="1095" w:type="dxa"/>
            <w:tcBorders>
              <w:top w:val="nil"/>
              <w:left w:val="nil"/>
              <w:bottom w:val="nil"/>
              <w:right w:val="nil"/>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57</w:t>
            </w:r>
          </w:p>
        </w:tc>
        <w:tc>
          <w:tcPr>
            <w:tcW w:w="1261" w:type="dxa"/>
            <w:tcBorders>
              <w:top w:val="nil"/>
              <w:left w:val="single" w:sz="4" w:space="0" w:color="auto"/>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17</w:t>
            </w:r>
          </w:p>
        </w:tc>
        <w:tc>
          <w:tcPr>
            <w:tcW w:w="825" w:type="dxa"/>
            <w:tcBorders>
              <w:top w:val="nil"/>
              <w:left w:val="nil"/>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4</w:t>
            </w:r>
          </w:p>
        </w:tc>
        <w:tc>
          <w:tcPr>
            <w:tcW w:w="1387" w:type="dxa"/>
            <w:tcBorders>
              <w:top w:val="nil"/>
              <w:left w:val="nil"/>
              <w:bottom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1</w:t>
            </w:r>
          </w:p>
        </w:tc>
        <w:tc>
          <w:tcPr>
            <w:tcW w:w="10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97</w:t>
            </w:r>
          </w:p>
        </w:tc>
      </w:tr>
      <w:tr w:rsidR="003F4F6D" w:rsidRPr="00243B39" w:rsidTr="00C11AA8">
        <w:trPr>
          <w:trHeight w:val="233"/>
        </w:trPr>
        <w:tc>
          <w:tcPr>
            <w:tcW w:w="1368" w:type="dxa"/>
            <w:vMerge/>
            <w:tcBorders>
              <w:top w:val="nil"/>
              <w:left w:val="single" w:sz="4" w:space="0" w:color="auto"/>
              <w:bottom w:val="single" w:sz="4" w:space="0" w:color="000000"/>
              <w:right w:val="single" w:sz="4" w:space="0" w:color="auto"/>
            </w:tcBorders>
            <w:vAlign w:val="center"/>
            <w:hideMark/>
          </w:tcPr>
          <w:p w:rsidR="003F4F6D" w:rsidRPr="00243B39" w:rsidRDefault="003F4F6D" w:rsidP="003F4F6D">
            <w:pPr>
              <w:rPr>
                <w:rFonts w:ascii="Arial" w:hAnsi="Arial" w:cs="Arial"/>
                <w:b/>
                <w:bCs/>
                <w:sz w:val="20"/>
                <w:szCs w:val="20"/>
              </w:rPr>
            </w:pPr>
          </w:p>
        </w:tc>
        <w:tc>
          <w:tcPr>
            <w:tcW w:w="1228" w:type="dxa"/>
            <w:tcBorders>
              <w:top w:val="nil"/>
              <w:left w:val="nil"/>
              <w:bottom w:val="single" w:sz="4" w:space="0" w:color="auto"/>
              <w:right w:val="single" w:sz="4" w:space="0" w:color="auto"/>
            </w:tcBorders>
            <w:shd w:val="clear" w:color="auto" w:fill="auto"/>
            <w:noWrap/>
            <w:vAlign w:val="center"/>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19%</w:t>
            </w:r>
          </w:p>
        </w:tc>
        <w:tc>
          <w:tcPr>
            <w:tcW w:w="1095" w:type="dxa"/>
            <w:tcBorders>
              <w:top w:val="nil"/>
              <w:left w:val="nil"/>
              <w:bottom w:val="single" w:sz="4" w:space="0" w:color="auto"/>
              <w:right w:val="nil"/>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59%</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18%</w:t>
            </w:r>
          </w:p>
        </w:tc>
        <w:tc>
          <w:tcPr>
            <w:tcW w:w="825" w:type="dxa"/>
            <w:tcBorders>
              <w:top w:val="nil"/>
              <w:left w:val="nil"/>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4%</w:t>
            </w:r>
          </w:p>
        </w:tc>
        <w:tc>
          <w:tcPr>
            <w:tcW w:w="1387" w:type="dxa"/>
            <w:tcBorders>
              <w:top w:val="nil"/>
              <w:left w:val="nil"/>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1%</w:t>
            </w:r>
          </w:p>
        </w:tc>
        <w:tc>
          <w:tcPr>
            <w:tcW w:w="1057" w:type="dxa"/>
            <w:vMerge/>
            <w:tcBorders>
              <w:top w:val="nil"/>
              <w:left w:val="single" w:sz="4" w:space="0" w:color="auto"/>
              <w:bottom w:val="single" w:sz="4" w:space="0" w:color="000000"/>
              <w:right w:val="single" w:sz="4" w:space="0" w:color="auto"/>
            </w:tcBorders>
            <w:vAlign w:val="center"/>
            <w:hideMark/>
          </w:tcPr>
          <w:p w:rsidR="003F4F6D" w:rsidRPr="00243B39" w:rsidRDefault="003F4F6D" w:rsidP="003F4F6D">
            <w:pPr>
              <w:rPr>
                <w:rFonts w:ascii="Arial" w:hAnsi="Arial" w:cs="Arial"/>
                <w:sz w:val="20"/>
                <w:szCs w:val="20"/>
              </w:rPr>
            </w:pPr>
          </w:p>
        </w:tc>
      </w:tr>
      <w:tr w:rsidR="003F4F6D" w:rsidRPr="00243B39" w:rsidTr="00C11AA8">
        <w:trPr>
          <w:trHeight w:val="255"/>
        </w:trPr>
        <w:tc>
          <w:tcPr>
            <w:tcW w:w="1368" w:type="dxa"/>
            <w:vMerge w:val="restart"/>
            <w:tcBorders>
              <w:top w:val="single" w:sz="4" w:space="0" w:color="000000"/>
              <w:left w:val="single" w:sz="4" w:space="0" w:color="auto"/>
              <w:bottom w:val="single" w:sz="4" w:space="0" w:color="000000"/>
              <w:right w:val="single" w:sz="4" w:space="0" w:color="auto"/>
            </w:tcBorders>
            <w:shd w:val="clear" w:color="auto" w:fill="FABF8F" w:themeFill="accent6" w:themeFillTint="99"/>
            <w:noWrap/>
            <w:hideMark/>
          </w:tcPr>
          <w:p w:rsidR="003F4F6D" w:rsidRPr="00243B39" w:rsidRDefault="003F4F6D" w:rsidP="00C11AA8">
            <w:pPr>
              <w:jc w:val="center"/>
              <w:rPr>
                <w:rFonts w:ascii="Arial" w:hAnsi="Arial" w:cs="Arial"/>
                <w:b/>
                <w:bCs/>
                <w:sz w:val="20"/>
                <w:szCs w:val="20"/>
              </w:rPr>
            </w:pPr>
            <w:r w:rsidRPr="00243B39">
              <w:rPr>
                <w:rFonts w:ascii="Arial" w:hAnsi="Arial" w:cs="Arial"/>
                <w:b/>
                <w:bCs/>
                <w:sz w:val="20"/>
                <w:szCs w:val="20"/>
              </w:rPr>
              <w:t>2009-2010</w:t>
            </w:r>
            <w:r w:rsidR="00C11AA8">
              <w:rPr>
                <w:rFonts w:ascii="Arial" w:hAnsi="Arial" w:cs="Arial"/>
                <w:b/>
                <w:bCs/>
                <w:sz w:val="20"/>
                <w:szCs w:val="20"/>
              </w:rPr>
              <w:br/>
            </w:r>
            <w:r w:rsidR="00C11AA8" w:rsidRPr="003637C7">
              <w:rPr>
                <w:rFonts w:ascii="Arial" w:hAnsi="Arial" w:cs="Arial"/>
                <w:b/>
                <w:bCs/>
                <w:sz w:val="18"/>
                <w:szCs w:val="18"/>
              </w:rPr>
              <w:t>Number and Per</w:t>
            </w:r>
            <w:r w:rsidR="00C11AA8">
              <w:rPr>
                <w:rFonts w:ascii="Arial" w:hAnsi="Arial" w:cs="Arial"/>
                <w:b/>
                <w:bCs/>
                <w:sz w:val="18"/>
                <w:szCs w:val="18"/>
              </w:rPr>
              <w:t>c</w:t>
            </w:r>
            <w:r w:rsidR="00C11AA8" w:rsidRPr="003637C7">
              <w:rPr>
                <w:rFonts w:ascii="Arial" w:hAnsi="Arial" w:cs="Arial"/>
                <w:b/>
                <w:bCs/>
                <w:sz w:val="18"/>
                <w:szCs w:val="18"/>
              </w:rPr>
              <w:t>entage</w:t>
            </w:r>
          </w:p>
        </w:tc>
        <w:tc>
          <w:tcPr>
            <w:tcW w:w="1228" w:type="dxa"/>
            <w:tcBorders>
              <w:top w:val="nil"/>
              <w:left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 </w:t>
            </w:r>
            <w:r>
              <w:rPr>
                <w:rFonts w:ascii="Arial" w:hAnsi="Arial" w:cs="Arial"/>
                <w:sz w:val="20"/>
                <w:szCs w:val="20"/>
              </w:rPr>
              <w:t>1</w:t>
            </w:r>
          </w:p>
        </w:tc>
        <w:tc>
          <w:tcPr>
            <w:tcW w:w="1095" w:type="dxa"/>
            <w:tcBorders>
              <w:top w:val="nil"/>
              <w:left w:val="nil"/>
              <w:right w:val="nil"/>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61</w:t>
            </w:r>
            <w:r w:rsidRPr="00243B39">
              <w:rPr>
                <w:rFonts w:ascii="Arial" w:hAnsi="Arial" w:cs="Arial"/>
                <w:sz w:val="20"/>
                <w:szCs w:val="20"/>
              </w:rPr>
              <w:t> </w:t>
            </w:r>
          </w:p>
        </w:tc>
        <w:tc>
          <w:tcPr>
            <w:tcW w:w="1261" w:type="dxa"/>
            <w:tcBorders>
              <w:top w:val="nil"/>
              <w:left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42</w:t>
            </w:r>
          </w:p>
        </w:tc>
        <w:tc>
          <w:tcPr>
            <w:tcW w:w="825" w:type="dxa"/>
            <w:tcBorders>
              <w:top w:val="nil"/>
              <w:left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4</w:t>
            </w:r>
          </w:p>
        </w:tc>
        <w:tc>
          <w:tcPr>
            <w:tcW w:w="1387" w:type="dxa"/>
            <w:tcBorders>
              <w:top w:val="nil"/>
              <w:left w:val="nil"/>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0</w:t>
            </w:r>
          </w:p>
        </w:tc>
        <w:tc>
          <w:tcPr>
            <w:tcW w:w="1057"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 </w:t>
            </w:r>
            <w:r>
              <w:rPr>
                <w:rFonts w:ascii="Arial" w:hAnsi="Arial" w:cs="Arial"/>
                <w:sz w:val="20"/>
                <w:szCs w:val="20"/>
              </w:rPr>
              <w:t>108</w:t>
            </w:r>
          </w:p>
        </w:tc>
      </w:tr>
      <w:tr w:rsidR="003F4F6D" w:rsidRPr="00243B39" w:rsidTr="00C11AA8">
        <w:trPr>
          <w:trHeight w:val="458"/>
        </w:trPr>
        <w:tc>
          <w:tcPr>
            <w:tcW w:w="1368" w:type="dxa"/>
            <w:vMerge/>
            <w:tcBorders>
              <w:top w:val="single" w:sz="4" w:space="0" w:color="000000"/>
              <w:left w:val="single" w:sz="4" w:space="0" w:color="auto"/>
              <w:bottom w:val="single" w:sz="4" w:space="0" w:color="000000"/>
              <w:right w:val="single" w:sz="4" w:space="0" w:color="auto"/>
            </w:tcBorders>
            <w:shd w:val="clear" w:color="auto" w:fill="FABF8F" w:themeFill="accent6" w:themeFillTint="99"/>
            <w:vAlign w:val="center"/>
            <w:hideMark/>
          </w:tcPr>
          <w:p w:rsidR="003F4F6D" w:rsidRPr="00243B39" w:rsidRDefault="003F4F6D" w:rsidP="003F4F6D">
            <w:pPr>
              <w:rPr>
                <w:rFonts w:ascii="Arial" w:hAnsi="Arial" w:cs="Arial"/>
                <w:b/>
                <w:bCs/>
                <w:sz w:val="20"/>
                <w:szCs w:val="20"/>
              </w:rPr>
            </w:pPr>
          </w:p>
        </w:tc>
        <w:tc>
          <w:tcPr>
            <w:tcW w:w="1228" w:type="dxa"/>
            <w:tcBorders>
              <w:top w:val="nil"/>
              <w:left w:val="nil"/>
              <w:bottom w:val="single" w:sz="4" w:space="0" w:color="auto"/>
              <w:right w:val="single" w:sz="4" w:space="0" w:color="auto"/>
            </w:tcBorders>
            <w:shd w:val="clear" w:color="auto" w:fill="auto"/>
            <w:noWrap/>
            <w:vAlign w:val="center"/>
            <w:hideMark/>
          </w:tcPr>
          <w:p w:rsidR="003F4F6D" w:rsidRPr="00243B39" w:rsidRDefault="003F4F6D" w:rsidP="003F4F6D">
            <w:pPr>
              <w:jc w:val="center"/>
              <w:rPr>
                <w:rFonts w:ascii="Arial" w:hAnsi="Arial" w:cs="Arial"/>
                <w:sz w:val="20"/>
                <w:szCs w:val="20"/>
              </w:rPr>
            </w:pPr>
            <w:r w:rsidRPr="00243B39">
              <w:rPr>
                <w:rFonts w:ascii="Arial" w:hAnsi="Arial" w:cs="Arial"/>
                <w:sz w:val="20"/>
                <w:szCs w:val="20"/>
              </w:rPr>
              <w:t> </w:t>
            </w:r>
            <w:r>
              <w:rPr>
                <w:rFonts w:ascii="Arial" w:hAnsi="Arial" w:cs="Arial"/>
                <w:sz w:val="20"/>
                <w:szCs w:val="20"/>
              </w:rPr>
              <w:t>&lt;1%</w:t>
            </w:r>
          </w:p>
        </w:tc>
        <w:tc>
          <w:tcPr>
            <w:tcW w:w="1095" w:type="dxa"/>
            <w:tcBorders>
              <w:top w:val="nil"/>
              <w:left w:val="nil"/>
              <w:bottom w:val="single" w:sz="4" w:space="0" w:color="auto"/>
              <w:right w:val="nil"/>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56%</w:t>
            </w:r>
            <w:r w:rsidRPr="00243B39">
              <w:rPr>
                <w:rFonts w:ascii="Arial" w:hAnsi="Arial" w:cs="Arial"/>
                <w:sz w:val="20"/>
                <w:szCs w:val="20"/>
              </w:rPr>
              <w:t> </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39%</w:t>
            </w:r>
            <w:r w:rsidRPr="00243B39">
              <w:rPr>
                <w:rFonts w:ascii="Arial" w:hAnsi="Arial" w:cs="Arial"/>
                <w:sz w:val="20"/>
                <w:szCs w:val="20"/>
              </w:rPr>
              <w:t> </w:t>
            </w:r>
          </w:p>
        </w:tc>
        <w:tc>
          <w:tcPr>
            <w:tcW w:w="825" w:type="dxa"/>
            <w:tcBorders>
              <w:top w:val="nil"/>
              <w:left w:val="nil"/>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4%</w:t>
            </w:r>
            <w:r w:rsidRPr="00243B39">
              <w:rPr>
                <w:rFonts w:ascii="Arial" w:hAnsi="Arial" w:cs="Arial"/>
                <w:sz w:val="20"/>
                <w:szCs w:val="20"/>
              </w:rPr>
              <w:t> </w:t>
            </w:r>
          </w:p>
        </w:tc>
        <w:tc>
          <w:tcPr>
            <w:tcW w:w="1387" w:type="dxa"/>
            <w:tcBorders>
              <w:top w:val="nil"/>
              <w:left w:val="nil"/>
              <w:bottom w:val="single" w:sz="4" w:space="0" w:color="auto"/>
              <w:right w:val="single" w:sz="4" w:space="0" w:color="auto"/>
            </w:tcBorders>
            <w:shd w:val="clear" w:color="auto" w:fill="auto"/>
            <w:noWrap/>
            <w:vAlign w:val="bottom"/>
            <w:hideMark/>
          </w:tcPr>
          <w:p w:rsidR="003F4F6D" w:rsidRPr="00243B39" w:rsidRDefault="003F4F6D" w:rsidP="003F4F6D">
            <w:pPr>
              <w:jc w:val="center"/>
              <w:rPr>
                <w:rFonts w:ascii="Arial" w:hAnsi="Arial" w:cs="Arial"/>
                <w:sz w:val="20"/>
                <w:szCs w:val="20"/>
              </w:rPr>
            </w:pPr>
            <w:r>
              <w:rPr>
                <w:rFonts w:ascii="Arial" w:hAnsi="Arial" w:cs="Arial"/>
                <w:sz w:val="20"/>
                <w:szCs w:val="20"/>
              </w:rPr>
              <w:t>0%</w:t>
            </w:r>
            <w:r w:rsidRPr="00243B39">
              <w:rPr>
                <w:rFonts w:ascii="Arial" w:hAnsi="Arial" w:cs="Arial"/>
                <w:sz w:val="20"/>
                <w:szCs w:val="20"/>
              </w:rPr>
              <w:t> </w:t>
            </w:r>
          </w:p>
        </w:tc>
        <w:tc>
          <w:tcPr>
            <w:tcW w:w="1057" w:type="dxa"/>
            <w:vMerge/>
            <w:tcBorders>
              <w:top w:val="single" w:sz="4" w:space="0" w:color="000000"/>
              <w:left w:val="single" w:sz="4" w:space="0" w:color="auto"/>
              <w:bottom w:val="single" w:sz="4" w:space="0" w:color="000000"/>
              <w:right w:val="single" w:sz="4" w:space="0" w:color="auto"/>
            </w:tcBorders>
            <w:vAlign w:val="center"/>
            <w:hideMark/>
          </w:tcPr>
          <w:p w:rsidR="003F4F6D" w:rsidRPr="00243B39" w:rsidRDefault="003F4F6D" w:rsidP="003F4F6D">
            <w:pPr>
              <w:rPr>
                <w:rFonts w:ascii="Arial" w:hAnsi="Arial" w:cs="Arial"/>
                <w:sz w:val="20"/>
                <w:szCs w:val="20"/>
              </w:rPr>
            </w:pPr>
          </w:p>
        </w:tc>
      </w:tr>
      <w:tr w:rsidR="00150C07" w:rsidRPr="00243B39" w:rsidTr="00184E7D">
        <w:trPr>
          <w:trHeight w:val="548"/>
        </w:trPr>
        <w:tc>
          <w:tcPr>
            <w:tcW w:w="1368" w:type="dxa"/>
            <w:vMerge w:val="restart"/>
            <w:tcBorders>
              <w:top w:val="single" w:sz="4" w:space="0" w:color="000000"/>
              <w:left w:val="single" w:sz="4" w:space="0" w:color="auto"/>
              <w:right w:val="single" w:sz="4" w:space="0" w:color="auto"/>
            </w:tcBorders>
            <w:shd w:val="clear" w:color="auto" w:fill="BFBFBF" w:themeFill="background1" w:themeFillShade="BF"/>
          </w:tcPr>
          <w:p w:rsidR="00150C07" w:rsidRPr="00243B39" w:rsidRDefault="00150C07" w:rsidP="00C11AA8">
            <w:pPr>
              <w:jc w:val="center"/>
              <w:rPr>
                <w:rFonts w:ascii="Arial" w:hAnsi="Arial" w:cs="Arial"/>
                <w:b/>
                <w:bCs/>
                <w:sz w:val="20"/>
                <w:szCs w:val="20"/>
              </w:rPr>
            </w:pPr>
            <w:r w:rsidRPr="00184E7D">
              <w:rPr>
                <w:rFonts w:ascii="Arial" w:hAnsi="Arial" w:cs="Arial"/>
                <w:b/>
                <w:bCs/>
                <w:sz w:val="20"/>
                <w:szCs w:val="20"/>
              </w:rPr>
              <w:t>2010-2011*</w:t>
            </w:r>
            <w:r w:rsidRPr="00184E7D">
              <w:rPr>
                <w:rFonts w:ascii="Arial" w:hAnsi="Arial" w:cs="Arial"/>
                <w:b/>
                <w:bCs/>
                <w:sz w:val="20"/>
                <w:szCs w:val="20"/>
              </w:rPr>
              <w:br/>
            </w:r>
            <w:r w:rsidRPr="00184E7D">
              <w:rPr>
                <w:rFonts w:ascii="Arial" w:hAnsi="Arial" w:cs="Arial"/>
                <w:b/>
                <w:bCs/>
                <w:sz w:val="18"/>
                <w:szCs w:val="18"/>
              </w:rPr>
              <w:t>Number and Percentage</w:t>
            </w:r>
          </w:p>
        </w:tc>
        <w:tc>
          <w:tcPr>
            <w:tcW w:w="1228" w:type="dxa"/>
            <w:tcBorders>
              <w:top w:val="single" w:sz="4" w:space="0" w:color="auto"/>
              <w:left w:val="nil"/>
              <w:bottom w:val="nil"/>
              <w:right w:val="single" w:sz="4" w:space="0" w:color="auto"/>
            </w:tcBorders>
            <w:shd w:val="clear" w:color="auto" w:fill="FFFF00"/>
            <w:noWrap/>
            <w:vAlign w:val="bottom"/>
          </w:tcPr>
          <w:p w:rsidR="00150C07" w:rsidRPr="00243B39" w:rsidRDefault="00184E7D" w:rsidP="00184E7D">
            <w:pPr>
              <w:jc w:val="center"/>
              <w:rPr>
                <w:rFonts w:ascii="Arial" w:hAnsi="Arial" w:cs="Arial"/>
                <w:sz w:val="20"/>
                <w:szCs w:val="20"/>
              </w:rPr>
            </w:pPr>
            <w:r>
              <w:rPr>
                <w:rFonts w:ascii="Arial" w:hAnsi="Arial" w:cs="Arial"/>
                <w:sz w:val="20"/>
                <w:szCs w:val="20"/>
              </w:rPr>
              <w:t>0</w:t>
            </w:r>
          </w:p>
        </w:tc>
        <w:tc>
          <w:tcPr>
            <w:tcW w:w="1095" w:type="dxa"/>
            <w:tcBorders>
              <w:top w:val="single" w:sz="4" w:space="0" w:color="auto"/>
              <w:left w:val="nil"/>
              <w:bottom w:val="nil"/>
              <w:right w:val="nil"/>
            </w:tcBorders>
            <w:shd w:val="clear" w:color="auto" w:fill="FFFF00"/>
            <w:noWrap/>
            <w:vAlign w:val="bottom"/>
          </w:tcPr>
          <w:p w:rsidR="00150C07" w:rsidRDefault="00184E7D" w:rsidP="003F4F6D">
            <w:pPr>
              <w:jc w:val="center"/>
              <w:rPr>
                <w:rFonts w:ascii="Arial" w:hAnsi="Arial" w:cs="Arial"/>
                <w:sz w:val="20"/>
                <w:szCs w:val="20"/>
              </w:rPr>
            </w:pPr>
            <w:r>
              <w:rPr>
                <w:rFonts w:ascii="Arial" w:hAnsi="Arial" w:cs="Arial"/>
                <w:sz w:val="20"/>
                <w:szCs w:val="20"/>
              </w:rPr>
              <w:t>36</w:t>
            </w:r>
          </w:p>
        </w:tc>
        <w:tc>
          <w:tcPr>
            <w:tcW w:w="1261" w:type="dxa"/>
            <w:tcBorders>
              <w:top w:val="single" w:sz="4" w:space="0" w:color="auto"/>
              <w:left w:val="single" w:sz="4" w:space="0" w:color="auto"/>
              <w:bottom w:val="nil"/>
              <w:right w:val="single" w:sz="4" w:space="0" w:color="auto"/>
            </w:tcBorders>
            <w:shd w:val="clear" w:color="auto" w:fill="FFFF00"/>
            <w:noWrap/>
            <w:vAlign w:val="bottom"/>
          </w:tcPr>
          <w:p w:rsidR="00150C07" w:rsidRDefault="00184E7D" w:rsidP="003F4F6D">
            <w:pPr>
              <w:jc w:val="center"/>
              <w:rPr>
                <w:rFonts w:ascii="Arial" w:hAnsi="Arial" w:cs="Arial"/>
                <w:sz w:val="20"/>
                <w:szCs w:val="20"/>
              </w:rPr>
            </w:pPr>
            <w:r>
              <w:rPr>
                <w:rFonts w:ascii="Arial" w:hAnsi="Arial" w:cs="Arial"/>
                <w:sz w:val="20"/>
                <w:szCs w:val="20"/>
              </w:rPr>
              <w:t>56</w:t>
            </w:r>
          </w:p>
        </w:tc>
        <w:tc>
          <w:tcPr>
            <w:tcW w:w="825" w:type="dxa"/>
            <w:tcBorders>
              <w:top w:val="single" w:sz="4" w:space="0" w:color="auto"/>
              <w:left w:val="nil"/>
              <w:bottom w:val="nil"/>
              <w:right w:val="single" w:sz="4" w:space="0" w:color="auto"/>
            </w:tcBorders>
            <w:shd w:val="clear" w:color="auto" w:fill="FFFF00"/>
            <w:noWrap/>
            <w:vAlign w:val="bottom"/>
          </w:tcPr>
          <w:p w:rsidR="00150C07" w:rsidRDefault="00184E7D" w:rsidP="003F4F6D">
            <w:pPr>
              <w:jc w:val="center"/>
              <w:rPr>
                <w:rFonts w:ascii="Arial" w:hAnsi="Arial" w:cs="Arial"/>
                <w:sz w:val="20"/>
                <w:szCs w:val="20"/>
              </w:rPr>
            </w:pPr>
            <w:r>
              <w:rPr>
                <w:rFonts w:ascii="Arial" w:hAnsi="Arial" w:cs="Arial"/>
                <w:sz w:val="20"/>
                <w:szCs w:val="20"/>
              </w:rPr>
              <w:t>7</w:t>
            </w:r>
          </w:p>
        </w:tc>
        <w:tc>
          <w:tcPr>
            <w:tcW w:w="1387" w:type="dxa"/>
            <w:tcBorders>
              <w:top w:val="single" w:sz="4" w:space="0" w:color="auto"/>
              <w:left w:val="nil"/>
              <w:bottom w:val="nil"/>
              <w:right w:val="single" w:sz="4" w:space="0" w:color="auto"/>
            </w:tcBorders>
            <w:shd w:val="clear" w:color="auto" w:fill="FFFF00"/>
            <w:noWrap/>
            <w:vAlign w:val="bottom"/>
          </w:tcPr>
          <w:p w:rsidR="00150C07" w:rsidRDefault="00184E7D" w:rsidP="00184E7D">
            <w:pPr>
              <w:jc w:val="center"/>
              <w:rPr>
                <w:rFonts w:ascii="Arial" w:hAnsi="Arial" w:cs="Arial"/>
                <w:sz w:val="20"/>
                <w:szCs w:val="20"/>
              </w:rPr>
            </w:pPr>
            <w:r>
              <w:rPr>
                <w:rFonts w:ascii="Arial" w:hAnsi="Arial" w:cs="Arial"/>
                <w:sz w:val="20"/>
                <w:szCs w:val="20"/>
              </w:rPr>
              <w:t>0</w:t>
            </w:r>
          </w:p>
        </w:tc>
        <w:tc>
          <w:tcPr>
            <w:tcW w:w="1057" w:type="dxa"/>
            <w:vMerge w:val="restart"/>
            <w:tcBorders>
              <w:top w:val="single" w:sz="4" w:space="0" w:color="000000"/>
              <w:left w:val="single" w:sz="4" w:space="0" w:color="auto"/>
              <w:right w:val="single" w:sz="4" w:space="0" w:color="auto"/>
            </w:tcBorders>
            <w:shd w:val="clear" w:color="auto" w:fill="FFFF00"/>
            <w:vAlign w:val="center"/>
          </w:tcPr>
          <w:p w:rsidR="00150C07" w:rsidRPr="00243B39" w:rsidRDefault="00184E7D" w:rsidP="00184E7D">
            <w:pPr>
              <w:jc w:val="center"/>
              <w:rPr>
                <w:rFonts w:ascii="Arial" w:hAnsi="Arial" w:cs="Arial"/>
                <w:sz w:val="20"/>
                <w:szCs w:val="20"/>
              </w:rPr>
            </w:pPr>
            <w:r>
              <w:rPr>
                <w:rFonts w:ascii="Arial" w:hAnsi="Arial" w:cs="Arial"/>
                <w:sz w:val="20"/>
                <w:szCs w:val="20"/>
              </w:rPr>
              <w:t>99</w:t>
            </w:r>
          </w:p>
        </w:tc>
      </w:tr>
      <w:tr w:rsidR="00150C07" w:rsidRPr="00243B39" w:rsidTr="00184E7D">
        <w:trPr>
          <w:trHeight w:val="548"/>
        </w:trPr>
        <w:tc>
          <w:tcPr>
            <w:tcW w:w="1368" w:type="dxa"/>
            <w:vMerge/>
            <w:tcBorders>
              <w:left w:val="single" w:sz="4" w:space="0" w:color="auto"/>
              <w:bottom w:val="single" w:sz="4" w:space="0" w:color="000000"/>
              <w:right w:val="single" w:sz="4" w:space="0" w:color="auto"/>
            </w:tcBorders>
            <w:shd w:val="clear" w:color="auto" w:fill="BFBFBF" w:themeFill="background1" w:themeFillShade="BF"/>
            <w:vAlign w:val="center"/>
          </w:tcPr>
          <w:p w:rsidR="00150C07" w:rsidRPr="00243B39" w:rsidRDefault="00150C07" w:rsidP="00C11AA8">
            <w:pPr>
              <w:jc w:val="center"/>
              <w:rPr>
                <w:rFonts w:ascii="Arial" w:hAnsi="Arial" w:cs="Arial"/>
                <w:b/>
                <w:bCs/>
                <w:sz w:val="20"/>
                <w:szCs w:val="20"/>
              </w:rPr>
            </w:pPr>
          </w:p>
        </w:tc>
        <w:tc>
          <w:tcPr>
            <w:tcW w:w="1228" w:type="dxa"/>
            <w:tcBorders>
              <w:top w:val="nil"/>
              <w:left w:val="nil"/>
              <w:bottom w:val="single" w:sz="4" w:space="0" w:color="auto"/>
              <w:right w:val="single" w:sz="4" w:space="0" w:color="auto"/>
            </w:tcBorders>
            <w:shd w:val="clear" w:color="auto" w:fill="FFFF00"/>
            <w:noWrap/>
            <w:vAlign w:val="bottom"/>
          </w:tcPr>
          <w:p w:rsidR="00150C07" w:rsidRPr="00243B39" w:rsidRDefault="00184E7D" w:rsidP="00184E7D">
            <w:pPr>
              <w:jc w:val="center"/>
              <w:rPr>
                <w:rFonts w:ascii="Arial" w:hAnsi="Arial" w:cs="Arial"/>
                <w:sz w:val="20"/>
                <w:szCs w:val="20"/>
              </w:rPr>
            </w:pPr>
            <w:r>
              <w:rPr>
                <w:rFonts w:ascii="Arial" w:hAnsi="Arial" w:cs="Arial"/>
                <w:sz w:val="20"/>
                <w:szCs w:val="20"/>
              </w:rPr>
              <w:t>0%</w:t>
            </w:r>
          </w:p>
        </w:tc>
        <w:tc>
          <w:tcPr>
            <w:tcW w:w="1095" w:type="dxa"/>
            <w:tcBorders>
              <w:top w:val="nil"/>
              <w:left w:val="nil"/>
              <w:bottom w:val="single" w:sz="4" w:space="0" w:color="auto"/>
              <w:right w:val="nil"/>
            </w:tcBorders>
            <w:shd w:val="clear" w:color="auto" w:fill="FFFF00"/>
            <w:noWrap/>
            <w:vAlign w:val="bottom"/>
          </w:tcPr>
          <w:p w:rsidR="00150C07" w:rsidRDefault="00184E7D" w:rsidP="00184E7D">
            <w:pPr>
              <w:jc w:val="center"/>
              <w:rPr>
                <w:rFonts w:ascii="Arial" w:hAnsi="Arial" w:cs="Arial"/>
                <w:sz w:val="20"/>
                <w:szCs w:val="20"/>
              </w:rPr>
            </w:pPr>
            <w:r>
              <w:rPr>
                <w:rFonts w:ascii="Arial" w:hAnsi="Arial" w:cs="Arial"/>
                <w:sz w:val="20"/>
                <w:szCs w:val="20"/>
              </w:rPr>
              <w:t>36%</w:t>
            </w:r>
          </w:p>
        </w:tc>
        <w:tc>
          <w:tcPr>
            <w:tcW w:w="1261" w:type="dxa"/>
            <w:tcBorders>
              <w:top w:val="nil"/>
              <w:left w:val="single" w:sz="4" w:space="0" w:color="auto"/>
              <w:bottom w:val="single" w:sz="4" w:space="0" w:color="auto"/>
              <w:right w:val="single" w:sz="4" w:space="0" w:color="auto"/>
            </w:tcBorders>
            <w:shd w:val="clear" w:color="auto" w:fill="FFFF00"/>
            <w:noWrap/>
            <w:vAlign w:val="bottom"/>
          </w:tcPr>
          <w:p w:rsidR="00150C07" w:rsidRDefault="00184E7D" w:rsidP="003F4F6D">
            <w:pPr>
              <w:jc w:val="center"/>
              <w:rPr>
                <w:rFonts w:ascii="Arial" w:hAnsi="Arial" w:cs="Arial"/>
                <w:sz w:val="20"/>
                <w:szCs w:val="20"/>
              </w:rPr>
            </w:pPr>
            <w:r>
              <w:rPr>
                <w:rFonts w:ascii="Arial" w:hAnsi="Arial" w:cs="Arial"/>
                <w:sz w:val="20"/>
                <w:szCs w:val="20"/>
              </w:rPr>
              <w:t>57%</w:t>
            </w:r>
          </w:p>
        </w:tc>
        <w:tc>
          <w:tcPr>
            <w:tcW w:w="825" w:type="dxa"/>
            <w:tcBorders>
              <w:top w:val="nil"/>
              <w:left w:val="nil"/>
              <w:bottom w:val="single" w:sz="4" w:space="0" w:color="auto"/>
              <w:right w:val="single" w:sz="4" w:space="0" w:color="auto"/>
            </w:tcBorders>
            <w:shd w:val="clear" w:color="auto" w:fill="FFFF00"/>
            <w:noWrap/>
            <w:vAlign w:val="bottom"/>
          </w:tcPr>
          <w:p w:rsidR="00150C07" w:rsidRDefault="00184E7D" w:rsidP="003F4F6D">
            <w:pPr>
              <w:jc w:val="center"/>
              <w:rPr>
                <w:rFonts w:ascii="Arial" w:hAnsi="Arial" w:cs="Arial"/>
                <w:sz w:val="20"/>
                <w:szCs w:val="20"/>
              </w:rPr>
            </w:pPr>
            <w:r>
              <w:rPr>
                <w:rFonts w:ascii="Arial" w:hAnsi="Arial" w:cs="Arial"/>
                <w:sz w:val="20"/>
                <w:szCs w:val="20"/>
              </w:rPr>
              <w:t>7%</w:t>
            </w:r>
          </w:p>
        </w:tc>
        <w:tc>
          <w:tcPr>
            <w:tcW w:w="1387" w:type="dxa"/>
            <w:tcBorders>
              <w:top w:val="nil"/>
              <w:left w:val="nil"/>
              <w:bottom w:val="single" w:sz="4" w:space="0" w:color="auto"/>
              <w:right w:val="single" w:sz="4" w:space="0" w:color="auto"/>
            </w:tcBorders>
            <w:shd w:val="clear" w:color="auto" w:fill="FFFF00"/>
            <w:noWrap/>
            <w:vAlign w:val="bottom"/>
          </w:tcPr>
          <w:p w:rsidR="00150C07" w:rsidRDefault="00184E7D" w:rsidP="00184E7D">
            <w:pPr>
              <w:jc w:val="center"/>
              <w:rPr>
                <w:rFonts w:ascii="Arial" w:hAnsi="Arial" w:cs="Arial"/>
                <w:sz w:val="20"/>
                <w:szCs w:val="20"/>
              </w:rPr>
            </w:pPr>
            <w:r>
              <w:rPr>
                <w:rFonts w:ascii="Arial" w:hAnsi="Arial" w:cs="Arial"/>
                <w:sz w:val="20"/>
                <w:szCs w:val="20"/>
              </w:rPr>
              <w:t>0%</w:t>
            </w:r>
          </w:p>
        </w:tc>
        <w:tc>
          <w:tcPr>
            <w:tcW w:w="1057" w:type="dxa"/>
            <w:vMerge/>
            <w:tcBorders>
              <w:left w:val="single" w:sz="4" w:space="0" w:color="auto"/>
              <w:bottom w:val="single" w:sz="4" w:space="0" w:color="000000"/>
              <w:right w:val="single" w:sz="4" w:space="0" w:color="auto"/>
            </w:tcBorders>
            <w:vAlign w:val="center"/>
          </w:tcPr>
          <w:p w:rsidR="00150C07" w:rsidRPr="00243B39" w:rsidRDefault="00150C07" w:rsidP="003F4F6D">
            <w:pPr>
              <w:rPr>
                <w:rFonts w:ascii="Arial" w:hAnsi="Arial" w:cs="Arial"/>
                <w:sz w:val="20"/>
                <w:szCs w:val="20"/>
              </w:rPr>
            </w:pPr>
          </w:p>
        </w:tc>
      </w:tr>
    </w:tbl>
    <w:p w:rsidR="003F4F6D" w:rsidRPr="000D066F" w:rsidRDefault="00150C07" w:rsidP="00580FCC">
      <w:pPr>
        <w:spacing w:after="0" w:line="240" w:lineRule="auto"/>
      </w:pPr>
      <w:r>
        <w:t>*</w:t>
      </w:r>
      <w:r w:rsidR="00623176">
        <w:t xml:space="preserve">2010-2011 Table Averaging Method: For 2010-2011, if the committee average for each artifact contained a decimal point of </w:t>
      </w:r>
      <w:r w:rsidR="00623176">
        <w:rPr>
          <w:b/>
        </w:rPr>
        <w:t xml:space="preserve">.50 </w:t>
      </w:r>
      <w:r w:rsidR="00623176">
        <w:t xml:space="preserve">or below, the average was rounded down to the nearest whole number (e.g. 3.5 was equated to 3.0 with the justification that the artifact was clearly a 3, but not necessarily a 4). If an average contained a decimal point of </w:t>
      </w:r>
      <w:r w:rsidR="00623176">
        <w:rPr>
          <w:b/>
        </w:rPr>
        <w:t>.51</w:t>
      </w:r>
      <w:r w:rsidR="00623176">
        <w:t xml:space="preserve"> or above, the average was rounded up to the nearest whole number with the justification that the majority of the committee members rated the artifact with a higher whole number ra</w:t>
      </w:r>
      <w:r w:rsidR="00580FCC">
        <w:t>ther than a lower whole number. Also, for</w:t>
      </w:r>
      <w:r w:rsidR="00623176">
        <w:t xml:space="preserve"> 2010-2011, one committee member chose to use decimal points within the member’s own rating system (e.g. the member might choose to give an artifact a score of 2.5 on a 5 point scale). In the table and in the below “Use of Different Averaging Methods” section, an individual’s scores were never rounded and were used, with the decimal, to tabulate each artifact’s average.</w:t>
      </w:r>
    </w:p>
    <w:p w:rsidR="00547B58" w:rsidRDefault="00547B58" w:rsidP="00E90E87">
      <w:pPr>
        <w:spacing w:after="0" w:line="240" w:lineRule="auto"/>
        <w:ind w:left="720"/>
        <w:rPr>
          <w:b/>
          <w:i/>
          <w:sz w:val="24"/>
          <w:szCs w:val="24"/>
        </w:rPr>
      </w:pPr>
    </w:p>
    <w:p w:rsidR="00E90E87" w:rsidRPr="00E90E87" w:rsidRDefault="00E90E87" w:rsidP="00E90E87">
      <w:pPr>
        <w:spacing w:after="0" w:line="240" w:lineRule="auto"/>
        <w:ind w:left="720"/>
        <w:rPr>
          <w:sz w:val="24"/>
          <w:szCs w:val="24"/>
          <w:u w:val="single"/>
        </w:rPr>
      </w:pPr>
      <w:r w:rsidRPr="009B7603">
        <w:rPr>
          <w:b/>
          <w:i/>
          <w:sz w:val="24"/>
          <w:szCs w:val="24"/>
        </w:rPr>
        <w:lastRenderedPageBreak/>
        <w:t>C</w:t>
      </w:r>
      <w:r>
        <w:rPr>
          <w:b/>
          <w:i/>
          <w:sz w:val="24"/>
          <w:szCs w:val="24"/>
        </w:rPr>
        <w:t>RITICAL THINKING</w:t>
      </w:r>
      <w:r w:rsidRPr="009B7603">
        <w:rPr>
          <w:b/>
          <w:i/>
          <w:sz w:val="24"/>
          <w:szCs w:val="24"/>
        </w:rPr>
        <w:t xml:space="preserve"> COMPETENCY ANALYSIS CONTINUED:</w:t>
      </w:r>
    </w:p>
    <w:p w:rsidR="003338EA" w:rsidRPr="00E90E87" w:rsidRDefault="003338EA" w:rsidP="00E90E87">
      <w:pPr>
        <w:numPr>
          <w:ilvl w:val="0"/>
          <w:numId w:val="4"/>
        </w:numPr>
        <w:spacing w:after="0" w:line="240" w:lineRule="auto"/>
        <w:rPr>
          <w:u w:val="single"/>
        </w:rPr>
      </w:pPr>
      <w:r w:rsidRPr="00E90E87">
        <w:rPr>
          <w:u w:val="single"/>
        </w:rPr>
        <w:t xml:space="preserve">Additional </w:t>
      </w:r>
      <w:r w:rsidR="00E90E87" w:rsidRPr="00E90E87">
        <w:rPr>
          <w:u w:val="single"/>
        </w:rPr>
        <w:t xml:space="preserve">Critical Thinking </w:t>
      </w:r>
      <w:r w:rsidRPr="00E90E87">
        <w:rPr>
          <w:u w:val="single"/>
        </w:rPr>
        <w:t>Artifact Data</w:t>
      </w:r>
      <w:r w:rsidR="002B178D" w:rsidRPr="00E90E87">
        <w:rPr>
          <w:u w:val="single"/>
        </w:rPr>
        <w:t>/Information</w:t>
      </w:r>
      <w:r w:rsidRPr="00E90E87">
        <w:rPr>
          <w:u w:val="single"/>
        </w:rPr>
        <w:t>:</w:t>
      </w:r>
    </w:p>
    <w:p w:rsidR="0022311A" w:rsidRPr="00E90E87" w:rsidRDefault="0022311A" w:rsidP="00E90E87">
      <w:pPr>
        <w:numPr>
          <w:ilvl w:val="1"/>
          <w:numId w:val="4"/>
        </w:numPr>
        <w:spacing w:after="0" w:line="240" w:lineRule="auto"/>
        <w:rPr>
          <w:u w:val="single"/>
        </w:rPr>
      </w:pPr>
      <w:r w:rsidRPr="00E90E87">
        <w:rPr>
          <w:u w:val="single"/>
        </w:rPr>
        <w:t>Use of Different Averaging Methods</w:t>
      </w:r>
      <w:r w:rsidR="002B178D" w:rsidRPr="00E90E87">
        <w:rPr>
          <w:u w:val="single"/>
        </w:rPr>
        <w:t xml:space="preserve"> (Greatly Affects Results)</w:t>
      </w:r>
      <w:r w:rsidR="003338EA" w:rsidRPr="00E90E87">
        <w:rPr>
          <w:u w:val="single"/>
        </w:rPr>
        <w:t xml:space="preserve">: </w:t>
      </w:r>
    </w:p>
    <w:p w:rsidR="0022311A" w:rsidRDefault="003338EA" w:rsidP="00E90E87">
      <w:pPr>
        <w:numPr>
          <w:ilvl w:val="2"/>
          <w:numId w:val="4"/>
        </w:numPr>
        <w:spacing w:after="0" w:line="240" w:lineRule="auto"/>
      </w:pPr>
      <w:r>
        <w:t xml:space="preserve">If all averages that contained a decimal point of .50 had been rounded up to the next whole number rather than </w:t>
      </w:r>
      <w:r w:rsidR="0022311A">
        <w:t xml:space="preserve">rounded down, the numbers and percentages would have been as followed: </w:t>
      </w:r>
    </w:p>
    <w:p w:rsidR="0022311A" w:rsidRDefault="0022311A" w:rsidP="00E90E87">
      <w:pPr>
        <w:numPr>
          <w:ilvl w:val="3"/>
          <w:numId w:val="4"/>
        </w:numPr>
        <w:spacing w:after="0" w:line="240" w:lineRule="auto"/>
      </w:pPr>
      <w:r>
        <w:t xml:space="preserve">Average </w:t>
      </w:r>
      <w:r w:rsidRPr="0022311A">
        <w:t>Rating of 0 or 1</w:t>
      </w:r>
      <w:r>
        <w:t xml:space="preserve">: </w:t>
      </w:r>
      <w:r w:rsidRPr="00D570D9">
        <w:rPr>
          <w:b/>
        </w:rPr>
        <w:t>0 and 0%</w:t>
      </w:r>
    </w:p>
    <w:p w:rsidR="0022311A" w:rsidRPr="00D570D9" w:rsidRDefault="0022311A" w:rsidP="00E90E87">
      <w:pPr>
        <w:numPr>
          <w:ilvl w:val="3"/>
          <w:numId w:val="4"/>
        </w:numPr>
        <w:spacing w:after="0" w:line="240" w:lineRule="auto"/>
      </w:pPr>
      <w:r>
        <w:t>Average Rating of</w:t>
      </w:r>
      <w:r w:rsidRPr="0022311A">
        <w:t xml:space="preserve"> 2</w:t>
      </w:r>
      <w:r>
        <w:t xml:space="preserve">: </w:t>
      </w:r>
      <w:r w:rsidRPr="00D570D9">
        <w:rPr>
          <w:b/>
        </w:rPr>
        <w:t>5</w:t>
      </w:r>
      <w:r w:rsidR="00D570D9">
        <w:rPr>
          <w:b/>
        </w:rPr>
        <w:t xml:space="preserve"> </w:t>
      </w:r>
      <w:r w:rsidR="00954C48" w:rsidRPr="00D570D9">
        <w:rPr>
          <w:b/>
        </w:rPr>
        <w:t>and</w:t>
      </w:r>
      <w:r w:rsidR="00D570D9">
        <w:rPr>
          <w:b/>
        </w:rPr>
        <w:t xml:space="preserve"> 5%</w:t>
      </w:r>
    </w:p>
    <w:p w:rsidR="00D570D9" w:rsidRDefault="00D570D9" w:rsidP="00E90E87">
      <w:pPr>
        <w:numPr>
          <w:ilvl w:val="3"/>
          <w:numId w:val="4"/>
        </w:numPr>
        <w:spacing w:after="0" w:line="240" w:lineRule="auto"/>
      </w:pPr>
      <w:r>
        <w:t xml:space="preserve">Average Rating of 3: </w:t>
      </w:r>
      <w:r w:rsidRPr="00D570D9">
        <w:rPr>
          <w:b/>
        </w:rPr>
        <w:t>40</w:t>
      </w:r>
      <w:r>
        <w:rPr>
          <w:b/>
        </w:rPr>
        <w:t xml:space="preserve"> </w:t>
      </w:r>
      <w:r w:rsidR="00954C48" w:rsidRPr="00D570D9">
        <w:rPr>
          <w:b/>
        </w:rPr>
        <w:t>and</w:t>
      </w:r>
      <w:r>
        <w:rPr>
          <w:b/>
        </w:rPr>
        <w:t xml:space="preserve"> 40%</w:t>
      </w:r>
    </w:p>
    <w:p w:rsidR="00D570D9" w:rsidRDefault="00D570D9" w:rsidP="00E90E87">
      <w:pPr>
        <w:numPr>
          <w:ilvl w:val="3"/>
          <w:numId w:val="4"/>
        </w:numPr>
        <w:spacing w:after="0" w:line="240" w:lineRule="auto"/>
      </w:pPr>
      <w:r>
        <w:t xml:space="preserve">Average Rating of 4: </w:t>
      </w:r>
      <w:r w:rsidRPr="00D570D9">
        <w:rPr>
          <w:b/>
        </w:rPr>
        <w:t>52</w:t>
      </w:r>
      <w:r>
        <w:rPr>
          <w:b/>
        </w:rPr>
        <w:t xml:space="preserve"> </w:t>
      </w:r>
      <w:r w:rsidR="00954C48" w:rsidRPr="00D570D9">
        <w:rPr>
          <w:b/>
        </w:rPr>
        <w:t>and</w:t>
      </w:r>
      <w:r>
        <w:rPr>
          <w:b/>
        </w:rPr>
        <w:t xml:space="preserve"> 53%</w:t>
      </w:r>
    </w:p>
    <w:p w:rsidR="00D570D9" w:rsidRDefault="00D570D9" w:rsidP="00E90E87">
      <w:pPr>
        <w:numPr>
          <w:ilvl w:val="3"/>
          <w:numId w:val="4"/>
        </w:numPr>
        <w:spacing w:after="0" w:line="240" w:lineRule="auto"/>
      </w:pPr>
      <w:r>
        <w:t xml:space="preserve">Average Rating of 5: </w:t>
      </w:r>
      <w:r w:rsidRPr="00D570D9">
        <w:rPr>
          <w:b/>
        </w:rPr>
        <w:t>2</w:t>
      </w:r>
      <w:r>
        <w:t xml:space="preserve"> </w:t>
      </w:r>
      <w:r w:rsidR="00954C48" w:rsidRPr="00D570D9">
        <w:rPr>
          <w:b/>
        </w:rPr>
        <w:t>and</w:t>
      </w:r>
      <w:r w:rsidRPr="00D570D9">
        <w:rPr>
          <w:b/>
        </w:rPr>
        <w:t xml:space="preserve"> 2%</w:t>
      </w:r>
    </w:p>
    <w:p w:rsidR="00D570D9" w:rsidRDefault="00D570D9" w:rsidP="00E90E87">
      <w:pPr>
        <w:numPr>
          <w:ilvl w:val="2"/>
          <w:numId w:val="4"/>
        </w:numPr>
        <w:spacing w:after="0" w:line="240" w:lineRule="auto"/>
      </w:pPr>
      <w:r>
        <w:t>If all the averages that contained a decimal point of .99 or lower had all been rounded down to the nearest whole number, the numbers and percentages would have been as followed:</w:t>
      </w:r>
    </w:p>
    <w:p w:rsidR="00D570D9" w:rsidRDefault="00D570D9" w:rsidP="00E90E87">
      <w:pPr>
        <w:numPr>
          <w:ilvl w:val="3"/>
          <w:numId w:val="4"/>
        </w:numPr>
        <w:spacing w:after="0" w:line="240" w:lineRule="auto"/>
      </w:pPr>
      <w:r>
        <w:t xml:space="preserve">Average </w:t>
      </w:r>
      <w:r w:rsidRPr="0022311A">
        <w:t>Rating of 0 or 1</w:t>
      </w:r>
      <w:r>
        <w:t xml:space="preserve">: </w:t>
      </w:r>
      <w:r w:rsidRPr="00D570D9">
        <w:rPr>
          <w:b/>
        </w:rPr>
        <w:t>0 and 0%</w:t>
      </w:r>
    </w:p>
    <w:p w:rsidR="00D570D9" w:rsidRPr="00D570D9" w:rsidRDefault="00D570D9" w:rsidP="00E90E87">
      <w:pPr>
        <w:numPr>
          <w:ilvl w:val="3"/>
          <w:numId w:val="4"/>
        </w:numPr>
        <w:spacing w:after="0" w:line="240" w:lineRule="auto"/>
      </w:pPr>
      <w:r>
        <w:t>Average Rating of</w:t>
      </w:r>
      <w:r w:rsidRPr="0022311A">
        <w:t xml:space="preserve"> 2</w:t>
      </w:r>
      <w:r>
        <w:t xml:space="preserve">: </w:t>
      </w:r>
      <w:r w:rsidRPr="00D570D9">
        <w:rPr>
          <w:b/>
        </w:rPr>
        <w:t xml:space="preserve">20 </w:t>
      </w:r>
      <w:r w:rsidR="00954C48" w:rsidRPr="00D570D9">
        <w:rPr>
          <w:b/>
        </w:rPr>
        <w:t>and</w:t>
      </w:r>
      <w:r w:rsidRPr="00D570D9">
        <w:rPr>
          <w:b/>
        </w:rPr>
        <w:t xml:space="preserve"> 20%</w:t>
      </w:r>
    </w:p>
    <w:p w:rsidR="00D570D9" w:rsidRDefault="00D570D9" w:rsidP="00E90E87">
      <w:pPr>
        <w:numPr>
          <w:ilvl w:val="3"/>
          <w:numId w:val="4"/>
        </w:numPr>
        <w:spacing w:after="0" w:line="240" w:lineRule="auto"/>
      </w:pPr>
      <w:r>
        <w:t xml:space="preserve">Average Rating of 3: </w:t>
      </w:r>
      <w:r w:rsidRPr="00D570D9">
        <w:rPr>
          <w:b/>
        </w:rPr>
        <w:t xml:space="preserve">60 </w:t>
      </w:r>
      <w:r w:rsidR="00954C48" w:rsidRPr="00D570D9">
        <w:rPr>
          <w:b/>
        </w:rPr>
        <w:t>and</w:t>
      </w:r>
      <w:r w:rsidRPr="00D570D9">
        <w:rPr>
          <w:b/>
        </w:rPr>
        <w:t xml:space="preserve"> 61%</w:t>
      </w:r>
    </w:p>
    <w:p w:rsidR="00D570D9" w:rsidRDefault="00D570D9" w:rsidP="00E90E87">
      <w:pPr>
        <w:numPr>
          <w:ilvl w:val="3"/>
          <w:numId w:val="4"/>
        </w:numPr>
        <w:spacing w:after="0" w:line="240" w:lineRule="auto"/>
      </w:pPr>
      <w:r>
        <w:t xml:space="preserve">Average Rating of 4: </w:t>
      </w:r>
      <w:r w:rsidRPr="00D570D9">
        <w:rPr>
          <w:b/>
        </w:rPr>
        <w:t xml:space="preserve">19 </w:t>
      </w:r>
      <w:r w:rsidR="00954C48" w:rsidRPr="00D570D9">
        <w:rPr>
          <w:b/>
        </w:rPr>
        <w:t>and</w:t>
      </w:r>
      <w:r w:rsidRPr="00D570D9">
        <w:rPr>
          <w:b/>
        </w:rPr>
        <w:t xml:space="preserve"> 19%</w:t>
      </w:r>
    </w:p>
    <w:p w:rsidR="00D570D9" w:rsidRPr="00954C48" w:rsidRDefault="00D570D9" w:rsidP="00E90E87">
      <w:pPr>
        <w:numPr>
          <w:ilvl w:val="3"/>
          <w:numId w:val="4"/>
        </w:numPr>
        <w:spacing w:after="0" w:line="240" w:lineRule="auto"/>
      </w:pPr>
      <w:r>
        <w:t xml:space="preserve">Average Rating of 5: </w:t>
      </w:r>
      <w:r w:rsidRPr="00D570D9">
        <w:rPr>
          <w:b/>
        </w:rPr>
        <w:t>0 and 0%</w:t>
      </w:r>
    </w:p>
    <w:p w:rsidR="00954C48" w:rsidRPr="00E90E87" w:rsidRDefault="00E90E87" w:rsidP="00E90E87">
      <w:pPr>
        <w:numPr>
          <w:ilvl w:val="1"/>
          <w:numId w:val="4"/>
        </w:numPr>
        <w:spacing w:after="0" w:line="240" w:lineRule="auto"/>
        <w:rPr>
          <w:u w:val="single"/>
        </w:rPr>
      </w:pPr>
      <w:r>
        <w:rPr>
          <w:u w:val="single"/>
        </w:rPr>
        <w:t>Committee Member Artifact Averages (rounded to 2 decimal places):</w:t>
      </w:r>
    </w:p>
    <w:p w:rsidR="00954C48" w:rsidRDefault="00954C48" w:rsidP="00907DB2">
      <w:pPr>
        <w:numPr>
          <w:ilvl w:val="2"/>
          <w:numId w:val="4"/>
        </w:numPr>
        <w:spacing w:after="0" w:line="240" w:lineRule="auto"/>
      </w:pPr>
      <w:r>
        <w:t xml:space="preserve">Committee Member A: </w:t>
      </w:r>
      <w:r w:rsidRPr="00954C48">
        <w:rPr>
          <w:b/>
        </w:rPr>
        <w:t>3.06</w:t>
      </w:r>
    </w:p>
    <w:p w:rsidR="00954C48" w:rsidRDefault="00954C48" w:rsidP="00907DB2">
      <w:pPr>
        <w:numPr>
          <w:ilvl w:val="2"/>
          <w:numId w:val="4"/>
        </w:numPr>
        <w:spacing w:after="0" w:line="240" w:lineRule="auto"/>
      </w:pPr>
      <w:r>
        <w:t xml:space="preserve">Committee Member B: </w:t>
      </w:r>
      <w:r w:rsidRPr="00954C48">
        <w:rPr>
          <w:b/>
        </w:rPr>
        <w:t>3.24</w:t>
      </w:r>
    </w:p>
    <w:p w:rsidR="00954C48" w:rsidRDefault="00954C48" w:rsidP="00907DB2">
      <w:pPr>
        <w:numPr>
          <w:ilvl w:val="2"/>
          <w:numId w:val="4"/>
        </w:numPr>
        <w:spacing w:after="0" w:line="240" w:lineRule="auto"/>
      </w:pPr>
      <w:r>
        <w:t xml:space="preserve">Committee Member C: </w:t>
      </w:r>
      <w:r w:rsidRPr="00954C48">
        <w:rPr>
          <w:b/>
        </w:rPr>
        <w:t>3.26</w:t>
      </w:r>
    </w:p>
    <w:p w:rsidR="00954C48" w:rsidRPr="00954C48" w:rsidRDefault="00954C48" w:rsidP="00907DB2">
      <w:pPr>
        <w:numPr>
          <w:ilvl w:val="2"/>
          <w:numId w:val="4"/>
        </w:numPr>
        <w:spacing w:after="0" w:line="240" w:lineRule="auto"/>
      </w:pPr>
      <w:r>
        <w:t xml:space="preserve">Committee Member D: </w:t>
      </w:r>
      <w:r w:rsidRPr="00954C48">
        <w:rPr>
          <w:b/>
        </w:rPr>
        <w:t>3.97</w:t>
      </w:r>
    </w:p>
    <w:p w:rsidR="0022311A" w:rsidRPr="00907DB2" w:rsidRDefault="00954C48" w:rsidP="00907DB2">
      <w:pPr>
        <w:numPr>
          <w:ilvl w:val="2"/>
          <w:numId w:val="4"/>
        </w:numPr>
        <w:spacing w:after="0" w:line="240" w:lineRule="auto"/>
        <w:rPr>
          <w:b/>
        </w:rPr>
      </w:pPr>
      <w:r w:rsidRPr="00907DB2">
        <w:rPr>
          <w:b/>
        </w:rPr>
        <w:t xml:space="preserve">Committee Artifact Average: </w:t>
      </w:r>
      <w:r w:rsidR="00702D55" w:rsidRPr="00907DB2">
        <w:rPr>
          <w:b/>
        </w:rPr>
        <w:t>3.4</w:t>
      </w:r>
    </w:p>
    <w:p w:rsidR="00907DB2" w:rsidRDefault="003338EA" w:rsidP="00FB5DFC">
      <w:pPr>
        <w:pStyle w:val="ListParagraph"/>
        <w:numPr>
          <w:ilvl w:val="0"/>
          <w:numId w:val="4"/>
        </w:numPr>
      </w:pPr>
      <w:r w:rsidRPr="00907DB2">
        <w:rPr>
          <w:u w:val="single"/>
        </w:rPr>
        <w:t>Overall Synopsis:</w:t>
      </w:r>
      <w:r>
        <w:t xml:space="preserve"> </w:t>
      </w:r>
    </w:p>
    <w:p w:rsidR="003338EA" w:rsidRDefault="009517C4" w:rsidP="00907DB2">
      <w:pPr>
        <w:pStyle w:val="ListParagraph"/>
        <w:ind w:left="1440"/>
      </w:pPr>
      <w:r>
        <w:t>Regardless of the averaging method used, the goal was met and over 60% of AC students scored a 3 or higher artifact rating.</w:t>
      </w:r>
    </w:p>
    <w:p w:rsidR="003338EA" w:rsidRDefault="00907DB2" w:rsidP="00FB5DFC">
      <w:pPr>
        <w:pStyle w:val="ListParagraph"/>
        <w:numPr>
          <w:ilvl w:val="0"/>
          <w:numId w:val="4"/>
        </w:numPr>
      </w:pPr>
      <w:r w:rsidRPr="00907DB2">
        <w:rPr>
          <w:u w:val="single"/>
        </w:rPr>
        <w:t>Comparison to Previous Years’ Results</w:t>
      </w:r>
      <w:r w:rsidR="003338EA" w:rsidRPr="00907DB2">
        <w:rPr>
          <w:u w:val="single"/>
        </w:rPr>
        <w:t>:</w:t>
      </w:r>
      <w:r>
        <w:br/>
      </w:r>
      <w:r w:rsidR="003338EA">
        <w:t xml:space="preserve"> </w:t>
      </w:r>
      <w:r w:rsidR="0081496D">
        <w:t>Since 2007, the number of “Exemplary” artifacts has gone down. Although rubric and committee member changes may account for the decline in exemplary and excellent artifacts, critical thinking skills could be continually improved. Overall, Amarillo College students still show as highly competent and no artifacts were found to be unacceptable.</w:t>
      </w:r>
    </w:p>
    <w:p w:rsidR="003338EA" w:rsidRPr="00907DB2" w:rsidRDefault="000B442E" w:rsidP="00FB5DFC">
      <w:pPr>
        <w:pStyle w:val="ListParagraph"/>
        <w:numPr>
          <w:ilvl w:val="0"/>
          <w:numId w:val="4"/>
        </w:numPr>
        <w:spacing w:after="0"/>
        <w:rPr>
          <w:u w:val="single"/>
        </w:rPr>
      </w:pPr>
      <w:r>
        <w:rPr>
          <w:u w:val="single"/>
        </w:rPr>
        <w:t xml:space="preserve">Strengths and </w:t>
      </w:r>
      <w:r w:rsidR="003338EA" w:rsidRPr="00907DB2">
        <w:rPr>
          <w:u w:val="single"/>
        </w:rPr>
        <w:t>Room for Improvement:</w:t>
      </w:r>
    </w:p>
    <w:p w:rsidR="000B442E" w:rsidRPr="000B442E" w:rsidRDefault="000B442E" w:rsidP="00FB5DFC">
      <w:pPr>
        <w:pStyle w:val="ListParagraph"/>
        <w:numPr>
          <w:ilvl w:val="1"/>
          <w:numId w:val="4"/>
        </w:numPr>
        <w:spacing w:after="0"/>
      </w:pPr>
      <w:r>
        <w:rPr>
          <w:b/>
        </w:rPr>
        <w:t xml:space="preserve">Strength: </w:t>
      </w:r>
      <w:r>
        <w:t>Students typically follow the instructor’s assignment instructions.</w:t>
      </w:r>
    </w:p>
    <w:p w:rsidR="002C2C66" w:rsidRDefault="00026F1B" w:rsidP="00FB5DFC">
      <w:pPr>
        <w:pStyle w:val="ListParagraph"/>
        <w:numPr>
          <w:ilvl w:val="1"/>
          <w:numId w:val="4"/>
        </w:numPr>
        <w:spacing w:after="0"/>
      </w:pPr>
      <w:r w:rsidRPr="00907DB2">
        <w:rPr>
          <w:b/>
        </w:rPr>
        <w:t xml:space="preserve">Increase </w:t>
      </w:r>
      <w:r w:rsidR="002C2C66" w:rsidRPr="00907DB2">
        <w:rPr>
          <w:b/>
        </w:rPr>
        <w:t>Elaboration</w:t>
      </w:r>
      <w:r w:rsidR="002C2C66">
        <w:t xml:space="preserve">: </w:t>
      </w:r>
      <w:r w:rsidR="0062130B">
        <w:t xml:space="preserve">Some assignments did not include open-ended questions which made them difficult to evaluate. Committee members noted that short statements and multiple choice </w:t>
      </w:r>
      <w:r w:rsidR="00205D3E">
        <w:t xml:space="preserve">questions </w:t>
      </w:r>
      <w:r w:rsidR="0062130B">
        <w:t>are very difficult to grade for critical thinking. Problems that require more student elaboration would be helpful in the grading of critical thinking.</w:t>
      </w:r>
    </w:p>
    <w:p w:rsidR="00FB5DFC" w:rsidRDefault="00FB5DFC" w:rsidP="00FB5DFC">
      <w:pPr>
        <w:pStyle w:val="ListParagraph"/>
        <w:numPr>
          <w:ilvl w:val="2"/>
          <w:numId w:val="4"/>
        </w:numPr>
        <w:spacing w:after="0"/>
      </w:pPr>
      <w:r>
        <w:t xml:space="preserve">Assessment and Development Plan of Action: </w:t>
      </w:r>
    </w:p>
    <w:p w:rsidR="00FB5DFC" w:rsidRDefault="00FB5DFC" w:rsidP="00FB5DFC">
      <w:pPr>
        <w:pStyle w:val="ListParagraph"/>
        <w:spacing w:after="0"/>
        <w:ind w:left="2160"/>
      </w:pPr>
      <w:r>
        <w:t>True/False and Multiple choice questions will no longer be included as acceptable artifacts</w:t>
      </w:r>
    </w:p>
    <w:p w:rsidR="002C2C66" w:rsidRDefault="00026F1B" w:rsidP="00FB5DFC">
      <w:pPr>
        <w:pStyle w:val="ListParagraph"/>
        <w:numPr>
          <w:ilvl w:val="1"/>
          <w:numId w:val="4"/>
        </w:numPr>
        <w:spacing w:after="0"/>
      </w:pPr>
      <w:r w:rsidRPr="00907DB2">
        <w:rPr>
          <w:b/>
        </w:rPr>
        <w:t>Increase</w:t>
      </w:r>
      <w:r w:rsidR="0062130B" w:rsidRPr="00907DB2">
        <w:rPr>
          <w:b/>
        </w:rPr>
        <w:t xml:space="preserve"> </w:t>
      </w:r>
      <w:r w:rsidR="002C2C66" w:rsidRPr="00907DB2">
        <w:rPr>
          <w:b/>
        </w:rPr>
        <w:t>Use of Audio/Visual Elements:</w:t>
      </w:r>
      <w:r w:rsidR="002C2C66">
        <w:t xml:space="preserve"> </w:t>
      </w:r>
      <w:r w:rsidR="0062130B">
        <w:t>Oral presentations did not contain audio/visual elements and were therefore graded solely on visual aids. Grading based on visual aids allows for an incomplete analy</w:t>
      </w:r>
      <w:r w:rsidR="00FB5DFC">
        <w:t>sis of critical thinking skills so good audio is also needed.</w:t>
      </w:r>
    </w:p>
    <w:p w:rsidR="00FB5DFC" w:rsidRPr="00FB5DFC" w:rsidRDefault="00FB5DFC" w:rsidP="00FB5DFC">
      <w:pPr>
        <w:pStyle w:val="ListParagraph"/>
        <w:spacing w:after="0"/>
        <w:ind w:left="1440"/>
      </w:pPr>
    </w:p>
    <w:p w:rsidR="00FB5DFC" w:rsidRPr="00FB5DFC" w:rsidRDefault="00FB5DFC" w:rsidP="00FB5DFC">
      <w:pPr>
        <w:pStyle w:val="ListParagraph"/>
        <w:spacing w:after="0" w:line="240" w:lineRule="auto"/>
        <w:rPr>
          <w:sz w:val="24"/>
          <w:szCs w:val="24"/>
          <w:u w:val="single"/>
        </w:rPr>
      </w:pPr>
      <w:r w:rsidRPr="00FB5DFC">
        <w:rPr>
          <w:b/>
          <w:i/>
          <w:sz w:val="24"/>
          <w:szCs w:val="24"/>
        </w:rPr>
        <w:t>CRITICAL THINKING COMPETENCY ANALYSIS CONTINUED:</w:t>
      </w:r>
    </w:p>
    <w:p w:rsidR="00FB5DFC" w:rsidRPr="00FB5DFC" w:rsidRDefault="00FB5DFC" w:rsidP="00FB5DFC">
      <w:pPr>
        <w:pStyle w:val="ListParagraph"/>
        <w:numPr>
          <w:ilvl w:val="1"/>
          <w:numId w:val="12"/>
        </w:numPr>
        <w:spacing w:after="0"/>
      </w:pPr>
      <w:r w:rsidRPr="00907DB2">
        <w:rPr>
          <w:b/>
        </w:rPr>
        <w:t>Increase Independent/Critical Thinkin</w:t>
      </w:r>
      <w:r w:rsidRPr="000825BD">
        <w:rPr>
          <w:b/>
        </w:rPr>
        <w:t>g:</w:t>
      </w:r>
      <w:r>
        <w:t xml:space="preserve"> One group assignment involved a program that could be repeated as often as the student desires and that provided hints and reviews. While the program could act as a study tool, it was not viewed as a critical thinking activity.</w:t>
      </w:r>
    </w:p>
    <w:p w:rsidR="00205D3E" w:rsidRDefault="00026F1B" w:rsidP="00FB5DFC">
      <w:pPr>
        <w:pStyle w:val="ListParagraph"/>
        <w:numPr>
          <w:ilvl w:val="1"/>
          <w:numId w:val="12"/>
        </w:numPr>
        <w:spacing w:after="0"/>
      </w:pPr>
      <w:r w:rsidRPr="00907DB2">
        <w:rPr>
          <w:b/>
        </w:rPr>
        <w:t xml:space="preserve">Provide Better/Clear </w:t>
      </w:r>
      <w:r w:rsidR="002C2C66" w:rsidRPr="00907DB2">
        <w:rPr>
          <w:b/>
        </w:rPr>
        <w:t>Instructions:</w:t>
      </w:r>
      <w:r w:rsidR="0062130B" w:rsidRPr="00907DB2">
        <w:rPr>
          <w:b/>
        </w:rPr>
        <w:t xml:space="preserve"> </w:t>
      </w:r>
      <w:r w:rsidR="00011947">
        <w:t>Instructors can clarify their instructions and assure that an assignment</w:t>
      </w:r>
      <w:r w:rsidR="00985763">
        <w:t>’s</w:t>
      </w:r>
      <w:r w:rsidR="00011947">
        <w:t xml:space="preserve"> purpose is evident. </w:t>
      </w:r>
      <w:r w:rsidR="0062130B">
        <w:t>For some artifact groups, it was difficult to find clear instructions and/or a clear purpose for the assignment. For example, one artifa</w:t>
      </w:r>
      <w:r w:rsidR="00FB5DFC">
        <w:t xml:space="preserve">ct group contained student work </w:t>
      </w:r>
      <w:r w:rsidR="0062130B">
        <w:t xml:space="preserve">that seemed to involve a copying of sources and student work that failed to </w:t>
      </w:r>
      <w:r>
        <w:t>provide thorough interpretations and failed to</w:t>
      </w:r>
      <w:r w:rsidR="00847578">
        <w:t xml:space="preserve"> effectively</w:t>
      </w:r>
      <w:r>
        <w:t xml:space="preserve"> link </w:t>
      </w:r>
      <w:r w:rsidR="00847578">
        <w:t>cause and effe</w:t>
      </w:r>
      <w:r w:rsidR="00205D3E">
        <w:t>ct relationships.</w:t>
      </w:r>
    </w:p>
    <w:p w:rsidR="002B178D" w:rsidRDefault="00B158A4" w:rsidP="00FB5DFC">
      <w:pPr>
        <w:pStyle w:val="ListParagraph"/>
        <w:numPr>
          <w:ilvl w:val="2"/>
          <w:numId w:val="4"/>
        </w:numPr>
        <w:spacing w:after="0"/>
      </w:pPr>
      <w:r>
        <w:t xml:space="preserve">One obstacle to the effective assessment of Critical Thinking is that one rubric is used to assess a broad range of artifacts from various disciplines. Although the rubric is written in a manner broad enough so that it can assess multiple disciplines, the committee members do not always see an obvious evidence of critical thinking in assignments—particularly assignments from differing disciplines. </w:t>
      </w:r>
    </w:p>
    <w:p w:rsidR="002B178D" w:rsidRDefault="002B178D" w:rsidP="00FB5DFC">
      <w:pPr>
        <w:pStyle w:val="ListParagraph"/>
        <w:numPr>
          <w:ilvl w:val="3"/>
          <w:numId w:val="4"/>
        </w:numPr>
        <w:spacing w:after="0"/>
      </w:pPr>
      <w:r>
        <w:t>Committee Suggestion: One</w:t>
      </w:r>
      <w:r w:rsidR="00B158A4">
        <w:t xml:space="preserve"> committee member suggested that </w:t>
      </w:r>
      <w:r w:rsidR="00205D3E">
        <w:t>it would be beneficial for each instructor</w:t>
      </w:r>
      <w:r w:rsidR="0012257D">
        <w:t>, who submits artifacts,</w:t>
      </w:r>
      <w:r w:rsidR="00205D3E">
        <w:t xml:space="preserve"> to</w:t>
      </w:r>
      <w:r w:rsidR="0012257D">
        <w:t xml:space="preserve"> also</w:t>
      </w:r>
      <w:r w:rsidR="00205D3E">
        <w:t xml:space="preserve"> provide a summary explanation of how critical thinking was involved in their particular discipline’s assignment</w:t>
      </w:r>
      <w:r w:rsidR="00B158A4">
        <w:t xml:space="preserve">.  A summary explanation would allow </w:t>
      </w:r>
      <w:r w:rsidR="0012257D">
        <w:t>committee members,</w:t>
      </w:r>
      <w:r w:rsidR="00B158A4">
        <w:t xml:space="preserve"> from </w:t>
      </w:r>
      <w:r w:rsidR="0012257D">
        <w:t>varying</w:t>
      </w:r>
      <w:r w:rsidR="00B158A4">
        <w:t xml:space="preserve"> discipline backgrounds</w:t>
      </w:r>
      <w:r w:rsidR="0012257D">
        <w:t>,</w:t>
      </w:r>
      <w:r w:rsidR="00B158A4">
        <w:t xml:space="preserve"> </w:t>
      </w:r>
      <w:r w:rsidR="0012257D">
        <w:t>to</w:t>
      </w:r>
      <w:r w:rsidR="00B158A4">
        <w:t xml:space="preserve"> be readily</w:t>
      </w:r>
      <w:r w:rsidR="00205D3E">
        <w:t xml:space="preserve"> aware of how</w:t>
      </w:r>
      <w:r w:rsidR="0012257D">
        <w:t xml:space="preserve"> the contributing instructor had intended to implement critical thinking within a particular submitted assignment</w:t>
      </w:r>
      <w:r w:rsidR="00205D3E">
        <w:t>.</w:t>
      </w:r>
      <w:r w:rsidR="0012257D">
        <w:t xml:space="preserve"> </w:t>
      </w:r>
      <w:r w:rsidR="00205D3E">
        <w:t xml:space="preserve">For </w:t>
      </w:r>
      <w:r w:rsidR="0012257D">
        <w:t>instance</w:t>
      </w:r>
      <w:r w:rsidR="00205D3E">
        <w:t xml:space="preserve">, </w:t>
      </w:r>
      <w:r w:rsidR="0012257D">
        <w:t xml:space="preserve">without an assignment explanation, a committee member with a </w:t>
      </w:r>
      <w:r w:rsidR="00357B8A">
        <w:t>M</w:t>
      </w:r>
      <w:r w:rsidR="0012257D">
        <w:t xml:space="preserve">ath background would generally have an easier time rating effective math critical thinking skills than </w:t>
      </w:r>
      <w:r w:rsidR="00205D3E">
        <w:t>a</w:t>
      </w:r>
      <w:r w:rsidR="0012257D">
        <w:t xml:space="preserve"> committee member with an English or History background. </w:t>
      </w:r>
    </w:p>
    <w:p w:rsidR="00FA1394" w:rsidRDefault="00FA1394" w:rsidP="00FB5DFC">
      <w:pPr>
        <w:pStyle w:val="ListParagraph"/>
        <w:numPr>
          <w:ilvl w:val="3"/>
          <w:numId w:val="4"/>
        </w:numPr>
        <w:spacing w:after="0"/>
      </w:pPr>
      <w:r>
        <w:t xml:space="preserve">Points of Discussion: </w:t>
      </w:r>
    </w:p>
    <w:p w:rsidR="00FB7A34" w:rsidRDefault="00FB7A34" w:rsidP="00FB5DFC">
      <w:pPr>
        <w:pStyle w:val="ListParagraph"/>
        <w:numPr>
          <w:ilvl w:val="4"/>
          <w:numId w:val="4"/>
        </w:numPr>
        <w:spacing w:after="0"/>
      </w:pPr>
      <w:r>
        <w:t>If the suggestion of assignme</w:t>
      </w:r>
      <w:r w:rsidR="0003302D">
        <w:t xml:space="preserve">nt explanations is implemented </w:t>
      </w:r>
      <w:r>
        <w:t xml:space="preserve">into future assessment cycles, the assessment committee members may not agree with the instructor’s synopsis of how critical thinking was present in the assignment. However, the instructor’s assignment explanation could initially serve as a guiding force of how the instructor had intended to implement critical thinking into the submitted assignment. </w:t>
      </w:r>
    </w:p>
    <w:p w:rsidR="00FA1394" w:rsidRDefault="00FA1394" w:rsidP="00FB5DFC">
      <w:pPr>
        <w:pStyle w:val="ListParagraph"/>
        <w:numPr>
          <w:ilvl w:val="4"/>
          <w:numId w:val="4"/>
        </w:numPr>
        <w:spacing w:after="0"/>
      </w:pPr>
      <w:r>
        <w:t>The new rubrics may make it easier to define what constitutes “critical thinking”</w:t>
      </w:r>
    </w:p>
    <w:p w:rsidR="00FB5DFC" w:rsidRDefault="002B178D" w:rsidP="00FB5DFC">
      <w:pPr>
        <w:pStyle w:val="ListParagraph"/>
        <w:numPr>
          <w:ilvl w:val="3"/>
          <w:numId w:val="4"/>
        </w:numPr>
        <w:spacing w:after="0"/>
      </w:pPr>
      <w:r>
        <w:t xml:space="preserve">Assessment and Development Plan of Action: </w:t>
      </w:r>
      <w:r w:rsidR="0012257D">
        <w:t xml:space="preserve">Based on this recommendation, a discussion </w:t>
      </w:r>
      <w:r w:rsidR="00FA1394">
        <w:t xml:space="preserve">will be </w:t>
      </w:r>
      <w:r w:rsidR="00FB5DFC">
        <w:t>integrated into</w:t>
      </w:r>
      <w:r w:rsidR="00FA1394">
        <w:t xml:space="preserve"> the PowerPoint training of how committee members can affectively assess</w:t>
      </w:r>
      <w:r w:rsidR="00FB5DFC">
        <w:t xml:space="preserve"> a competency</w:t>
      </w:r>
      <w:r w:rsidR="00FA1394">
        <w:t xml:space="preserve"> across the disciplines</w:t>
      </w:r>
      <w:r w:rsidR="00FB5DFC">
        <w:t xml:space="preserve"> and use the rubric as a guide to assess the competencies</w:t>
      </w:r>
      <w:r w:rsidR="00FA1394">
        <w:t xml:space="preserve">. </w:t>
      </w:r>
    </w:p>
    <w:p w:rsidR="00FB5DFC" w:rsidRPr="00FB5DFC" w:rsidRDefault="00FB5DFC" w:rsidP="00FB5DFC">
      <w:pPr>
        <w:pStyle w:val="ListParagraph"/>
        <w:spacing w:after="0"/>
        <w:ind w:left="2880"/>
      </w:pPr>
    </w:p>
    <w:p w:rsidR="003F4F6D" w:rsidRPr="0050416B" w:rsidRDefault="00FB5DFC" w:rsidP="00FB5DFC">
      <w:pPr>
        <w:spacing w:after="0"/>
        <w:jc w:val="center"/>
        <w:rPr>
          <w:i/>
        </w:rPr>
      </w:pPr>
      <w:r>
        <w:rPr>
          <w:b/>
          <w:i/>
          <w:sz w:val="28"/>
          <w:szCs w:val="28"/>
        </w:rPr>
        <w:lastRenderedPageBreak/>
        <w:t>MATHEMATICS</w:t>
      </w:r>
      <w:r w:rsidRPr="00D57470">
        <w:rPr>
          <w:b/>
          <w:i/>
          <w:sz w:val="28"/>
          <w:szCs w:val="28"/>
        </w:rPr>
        <w:t xml:space="preserve"> </w:t>
      </w:r>
      <w:bookmarkStart w:id="7" w:name="Mathematics"/>
      <w:r w:rsidRPr="00D57470">
        <w:rPr>
          <w:b/>
          <w:i/>
          <w:sz w:val="28"/>
          <w:szCs w:val="28"/>
        </w:rPr>
        <w:t>COMPETENCY ANALYSIS</w:t>
      </w:r>
      <w:bookmarkEnd w:id="7"/>
      <w:r w:rsidRPr="00D57470">
        <w:rPr>
          <w:b/>
          <w:i/>
          <w:sz w:val="28"/>
          <w:szCs w:val="28"/>
        </w:rPr>
        <w:t>:</w:t>
      </w:r>
      <w:r w:rsidR="008032D9">
        <w:rPr>
          <w:i/>
        </w:rPr>
        <w:br/>
      </w:r>
      <w:hyperlink w:anchor="Topics_Covered" w:history="1">
        <w:r w:rsidR="008032D9" w:rsidRPr="0028588B">
          <w:rPr>
            <w:rStyle w:val="Hyperlink"/>
            <w:b/>
            <w:sz w:val="16"/>
            <w:szCs w:val="16"/>
          </w:rPr>
          <w:t>(Return to “Topics Covered”)</w:t>
        </w:r>
      </w:hyperlink>
    </w:p>
    <w:p w:rsidR="003F4F6D" w:rsidRPr="00547B58" w:rsidRDefault="003F4F6D" w:rsidP="003F4F6D">
      <w:pPr>
        <w:numPr>
          <w:ilvl w:val="0"/>
          <w:numId w:val="6"/>
        </w:numPr>
        <w:spacing w:after="0" w:line="240" w:lineRule="auto"/>
        <w:rPr>
          <w:u w:val="single"/>
        </w:rPr>
      </w:pPr>
      <w:r w:rsidRPr="00547B58">
        <w:rPr>
          <w:u w:val="single"/>
        </w:rPr>
        <w:t xml:space="preserve">Goal: </w:t>
      </w:r>
    </w:p>
    <w:p w:rsidR="003F4F6D" w:rsidRPr="00E97318" w:rsidRDefault="003F4F6D" w:rsidP="003F4F6D">
      <w:pPr>
        <w:numPr>
          <w:ilvl w:val="1"/>
          <w:numId w:val="6"/>
        </w:numPr>
        <w:spacing w:after="0" w:line="240" w:lineRule="auto"/>
      </w:pPr>
      <w:r w:rsidRPr="00E97318">
        <w:t>75% of students will demonstrate at least 3 outcomes AND</w:t>
      </w:r>
    </w:p>
    <w:p w:rsidR="00547B58" w:rsidRDefault="003F4F6D" w:rsidP="00547B58">
      <w:pPr>
        <w:numPr>
          <w:ilvl w:val="1"/>
          <w:numId w:val="6"/>
        </w:numPr>
        <w:spacing w:after="0" w:line="240" w:lineRule="auto"/>
      </w:pPr>
      <w:r w:rsidRPr="00E97318">
        <w:t xml:space="preserve"> 60% will demonstrate at least 4 outcomes</w:t>
      </w:r>
    </w:p>
    <w:p w:rsidR="003F4F6D" w:rsidRPr="00547B58" w:rsidRDefault="003F4F6D" w:rsidP="003F4F6D">
      <w:pPr>
        <w:numPr>
          <w:ilvl w:val="0"/>
          <w:numId w:val="6"/>
        </w:numPr>
        <w:spacing w:after="0" w:line="240" w:lineRule="auto"/>
        <w:rPr>
          <w:u w:val="single"/>
        </w:rPr>
      </w:pPr>
      <w:r w:rsidRPr="00547B58">
        <w:rPr>
          <w:u w:val="single"/>
        </w:rPr>
        <w:t>Results:</w:t>
      </w:r>
    </w:p>
    <w:p w:rsidR="003F4F6D" w:rsidRPr="0058394E" w:rsidRDefault="003F4F6D" w:rsidP="003F4F6D">
      <w:pPr>
        <w:numPr>
          <w:ilvl w:val="1"/>
          <w:numId w:val="6"/>
        </w:numPr>
        <w:spacing w:after="0" w:line="240" w:lineRule="auto"/>
      </w:pPr>
      <w:r w:rsidRPr="0058394E">
        <w:t>2007-2008 (N=99)</w:t>
      </w:r>
    </w:p>
    <w:p w:rsidR="003F4F6D" w:rsidRPr="0058394E" w:rsidRDefault="003F4F6D" w:rsidP="003F4F6D">
      <w:pPr>
        <w:numPr>
          <w:ilvl w:val="2"/>
          <w:numId w:val="6"/>
        </w:numPr>
        <w:spacing w:after="0" w:line="240" w:lineRule="auto"/>
      </w:pPr>
      <w:r w:rsidRPr="0058394E">
        <w:t>84% of students scored a 3 or higher</w:t>
      </w:r>
    </w:p>
    <w:p w:rsidR="003F4F6D" w:rsidRPr="0058394E" w:rsidRDefault="003F4F6D" w:rsidP="003F4F6D">
      <w:pPr>
        <w:numPr>
          <w:ilvl w:val="2"/>
          <w:numId w:val="6"/>
        </w:numPr>
        <w:spacing w:after="0" w:line="240" w:lineRule="auto"/>
      </w:pPr>
      <w:r w:rsidRPr="0058394E">
        <w:t xml:space="preserve"> 0% scored a 4 or higher *</w:t>
      </w:r>
    </w:p>
    <w:p w:rsidR="003F4F6D" w:rsidRPr="0058394E" w:rsidRDefault="00547B58" w:rsidP="00547B58">
      <w:pPr>
        <w:spacing w:after="0" w:line="240" w:lineRule="auto"/>
        <w:ind w:left="1440" w:firstLine="720"/>
        <w:rPr>
          <w:i/>
        </w:rPr>
      </w:pPr>
      <w:r>
        <w:rPr>
          <w:i/>
        </w:rPr>
        <w:t>(</w:t>
      </w:r>
      <w:r w:rsidR="003F4F6D" w:rsidRPr="0058394E">
        <w:rPr>
          <w:i/>
        </w:rPr>
        <w:t>* Few assignments allowed students to score above 3 points</w:t>
      </w:r>
      <w:r>
        <w:rPr>
          <w:i/>
        </w:rPr>
        <w:t>)</w:t>
      </w:r>
      <w:r w:rsidR="003F4F6D" w:rsidRPr="0058394E">
        <w:rPr>
          <w:i/>
        </w:rPr>
        <w:t xml:space="preserve"> </w:t>
      </w:r>
    </w:p>
    <w:p w:rsidR="003F4F6D" w:rsidRPr="0058394E" w:rsidRDefault="003F4F6D" w:rsidP="003F4F6D">
      <w:pPr>
        <w:numPr>
          <w:ilvl w:val="1"/>
          <w:numId w:val="6"/>
        </w:numPr>
        <w:spacing w:after="0" w:line="240" w:lineRule="auto"/>
      </w:pPr>
      <w:r w:rsidRPr="0058394E">
        <w:t>2008-2009 (N=102)</w:t>
      </w:r>
    </w:p>
    <w:p w:rsidR="003F4F6D" w:rsidRPr="0058394E" w:rsidRDefault="003F4F6D" w:rsidP="003F4F6D">
      <w:pPr>
        <w:numPr>
          <w:ilvl w:val="2"/>
          <w:numId w:val="6"/>
        </w:numPr>
        <w:spacing w:after="0" w:line="240" w:lineRule="auto"/>
      </w:pPr>
      <w:r w:rsidRPr="0058394E">
        <w:t>86% of students scored a 3 or higher</w:t>
      </w:r>
    </w:p>
    <w:p w:rsidR="003F4F6D" w:rsidRPr="0058394E" w:rsidRDefault="003F4F6D" w:rsidP="003F4F6D">
      <w:pPr>
        <w:numPr>
          <w:ilvl w:val="2"/>
          <w:numId w:val="6"/>
        </w:numPr>
        <w:spacing w:after="0" w:line="240" w:lineRule="auto"/>
      </w:pPr>
      <w:r w:rsidRPr="0058394E">
        <w:t>47% of students scored a 4 or higher</w:t>
      </w:r>
    </w:p>
    <w:p w:rsidR="003F4F6D" w:rsidRDefault="003F4F6D" w:rsidP="003F4F6D">
      <w:pPr>
        <w:numPr>
          <w:ilvl w:val="1"/>
          <w:numId w:val="6"/>
        </w:numPr>
        <w:spacing w:after="0" w:line="240" w:lineRule="auto"/>
      </w:pPr>
      <w:r w:rsidRPr="0058394E">
        <w:t>2009-2010</w:t>
      </w:r>
    </w:p>
    <w:p w:rsidR="003F4F6D" w:rsidRPr="0058394E" w:rsidRDefault="003F4F6D" w:rsidP="003F4F6D">
      <w:pPr>
        <w:numPr>
          <w:ilvl w:val="2"/>
          <w:numId w:val="6"/>
        </w:numPr>
        <w:spacing w:after="0" w:line="240" w:lineRule="auto"/>
      </w:pPr>
      <w:r w:rsidRPr="0058394E">
        <w:t>93% of students scored a 3 or higher</w:t>
      </w:r>
    </w:p>
    <w:p w:rsidR="003F4F6D" w:rsidRDefault="003F4F6D" w:rsidP="003F4F6D">
      <w:pPr>
        <w:numPr>
          <w:ilvl w:val="2"/>
          <w:numId w:val="6"/>
        </w:numPr>
        <w:spacing w:after="0" w:line="240" w:lineRule="auto"/>
      </w:pPr>
      <w:r w:rsidRPr="0058394E">
        <w:t>50% of students scored a 4 or higher</w:t>
      </w:r>
    </w:p>
    <w:p w:rsidR="003F4F6D" w:rsidRDefault="003F4F6D" w:rsidP="003F4F6D">
      <w:pPr>
        <w:numPr>
          <w:ilvl w:val="3"/>
          <w:numId w:val="6"/>
        </w:numPr>
        <w:spacing w:after="0" w:line="240" w:lineRule="auto"/>
      </w:pPr>
      <w:r>
        <w:t>Did not meet minimum standard</w:t>
      </w:r>
    </w:p>
    <w:p w:rsidR="003F4F6D" w:rsidRDefault="003F4F6D" w:rsidP="003F4F6D">
      <w:pPr>
        <w:numPr>
          <w:ilvl w:val="1"/>
          <w:numId w:val="6"/>
        </w:numPr>
        <w:spacing w:after="0" w:line="240" w:lineRule="auto"/>
      </w:pPr>
      <w:r>
        <w:t>2010-2011</w:t>
      </w:r>
    </w:p>
    <w:p w:rsidR="003F4F6D" w:rsidRPr="00FA4195" w:rsidRDefault="00E97318" w:rsidP="003F4F6D">
      <w:pPr>
        <w:numPr>
          <w:ilvl w:val="2"/>
          <w:numId w:val="6"/>
        </w:numPr>
        <w:spacing w:after="0" w:line="240" w:lineRule="auto"/>
        <w:rPr>
          <w:b/>
        </w:rPr>
      </w:pPr>
      <w:r w:rsidRPr="00FA4195">
        <w:rPr>
          <w:b/>
        </w:rPr>
        <w:t>81</w:t>
      </w:r>
      <w:r w:rsidR="003F4F6D" w:rsidRPr="00FA4195">
        <w:rPr>
          <w:b/>
        </w:rPr>
        <w:t>% of students scored a 3 or higher</w:t>
      </w:r>
    </w:p>
    <w:p w:rsidR="003F4F6D" w:rsidRPr="00FA4195" w:rsidRDefault="00E97318" w:rsidP="003637C7">
      <w:pPr>
        <w:numPr>
          <w:ilvl w:val="2"/>
          <w:numId w:val="6"/>
        </w:numPr>
        <w:spacing w:after="0" w:line="240" w:lineRule="auto"/>
        <w:rPr>
          <w:b/>
        </w:rPr>
      </w:pPr>
      <w:r w:rsidRPr="00FA4195">
        <w:rPr>
          <w:b/>
        </w:rPr>
        <w:t>63</w:t>
      </w:r>
      <w:r w:rsidR="003F4F6D" w:rsidRPr="00FA4195">
        <w:rPr>
          <w:b/>
        </w:rPr>
        <w:t>% of students scored a 4 or higher</w:t>
      </w:r>
    </w:p>
    <w:tbl>
      <w:tblPr>
        <w:tblW w:w="10435" w:type="dxa"/>
        <w:tblInd w:w="-72" w:type="dxa"/>
        <w:tblLook w:val="04A0" w:firstRow="1" w:lastRow="0" w:firstColumn="1" w:lastColumn="0" w:noHBand="0" w:noVBand="1"/>
      </w:tblPr>
      <w:tblGrid>
        <w:gridCol w:w="1353"/>
        <w:gridCol w:w="1577"/>
        <w:gridCol w:w="1577"/>
        <w:gridCol w:w="1577"/>
        <w:gridCol w:w="1577"/>
        <w:gridCol w:w="1617"/>
        <w:gridCol w:w="1157"/>
      </w:tblGrid>
      <w:tr w:rsidR="003F4F6D" w:rsidRPr="00220186" w:rsidTr="008032D9">
        <w:trPr>
          <w:trHeight w:val="278"/>
        </w:trPr>
        <w:tc>
          <w:tcPr>
            <w:tcW w:w="10435" w:type="dxa"/>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3F4F6D" w:rsidRPr="00220186" w:rsidRDefault="003637C7" w:rsidP="00220186">
            <w:pPr>
              <w:jc w:val="center"/>
              <w:rPr>
                <w:rFonts w:ascii="Arial" w:hAnsi="Arial" w:cs="Arial"/>
                <w:b/>
                <w:bCs/>
                <w:sz w:val="24"/>
                <w:szCs w:val="24"/>
              </w:rPr>
            </w:pPr>
            <w:r w:rsidRPr="00220186">
              <w:rPr>
                <w:rFonts w:ascii="Arial" w:hAnsi="Arial" w:cs="Arial"/>
                <w:b/>
                <w:bCs/>
                <w:sz w:val="24"/>
                <w:szCs w:val="24"/>
              </w:rPr>
              <w:t xml:space="preserve">Math Competency </w:t>
            </w:r>
            <w:r w:rsidR="003F4F6D" w:rsidRPr="00220186">
              <w:rPr>
                <w:rFonts w:ascii="Arial" w:hAnsi="Arial" w:cs="Arial"/>
                <w:b/>
                <w:bCs/>
                <w:sz w:val="24"/>
                <w:szCs w:val="24"/>
              </w:rPr>
              <w:t xml:space="preserve">Committee </w:t>
            </w:r>
            <w:r w:rsidRPr="00220186">
              <w:rPr>
                <w:rFonts w:ascii="Arial" w:hAnsi="Arial" w:cs="Arial"/>
                <w:b/>
                <w:bCs/>
                <w:sz w:val="24"/>
                <w:szCs w:val="24"/>
              </w:rPr>
              <w:t xml:space="preserve">Artifact </w:t>
            </w:r>
            <w:r w:rsidR="003F4F6D" w:rsidRPr="00220186">
              <w:rPr>
                <w:rFonts w:ascii="Arial" w:hAnsi="Arial" w:cs="Arial"/>
                <w:b/>
                <w:bCs/>
                <w:sz w:val="24"/>
                <w:szCs w:val="24"/>
              </w:rPr>
              <w:t>Evaluation</w:t>
            </w:r>
            <w:r w:rsidR="00220186">
              <w:rPr>
                <w:rFonts w:ascii="Arial" w:hAnsi="Arial" w:cs="Arial"/>
                <w:b/>
                <w:bCs/>
                <w:sz w:val="24"/>
                <w:szCs w:val="24"/>
              </w:rPr>
              <w:t xml:space="preserve"> Synopsis</w:t>
            </w:r>
          </w:p>
        </w:tc>
      </w:tr>
      <w:tr w:rsidR="00810C20" w:rsidRPr="0058394E" w:rsidTr="008032D9">
        <w:trPr>
          <w:trHeight w:val="1637"/>
        </w:trPr>
        <w:tc>
          <w:tcPr>
            <w:tcW w:w="1353" w:type="dxa"/>
            <w:tcBorders>
              <w:top w:val="nil"/>
              <w:left w:val="single" w:sz="4" w:space="0" w:color="auto"/>
              <w:right w:val="single" w:sz="4" w:space="0" w:color="auto"/>
            </w:tcBorders>
            <w:shd w:val="clear" w:color="000000" w:fill="BFBFBF"/>
            <w:noWrap/>
            <w:hideMark/>
          </w:tcPr>
          <w:p w:rsidR="00810C20" w:rsidRPr="00220186" w:rsidRDefault="00810C20" w:rsidP="00220186">
            <w:pPr>
              <w:jc w:val="center"/>
              <w:rPr>
                <w:rFonts w:ascii="Arial" w:hAnsi="Arial" w:cs="Arial"/>
                <w:b/>
                <w:sz w:val="18"/>
                <w:szCs w:val="18"/>
              </w:rPr>
            </w:pPr>
            <w:r w:rsidRPr="00220186">
              <w:rPr>
                <w:rFonts w:ascii="Arial" w:hAnsi="Arial" w:cs="Arial"/>
                <w:b/>
                <w:sz w:val="18"/>
                <w:szCs w:val="18"/>
              </w:rPr>
              <w:t>Year</w:t>
            </w:r>
          </w:p>
        </w:tc>
        <w:tc>
          <w:tcPr>
            <w:tcW w:w="1577" w:type="dxa"/>
            <w:tcBorders>
              <w:top w:val="nil"/>
              <w:left w:val="nil"/>
              <w:right w:val="single" w:sz="4" w:space="0" w:color="auto"/>
            </w:tcBorders>
            <w:shd w:val="clear" w:color="000000" w:fill="C0C0C0"/>
            <w:hideMark/>
          </w:tcPr>
          <w:p w:rsidR="00810C20" w:rsidRDefault="00810C20" w:rsidP="00220186">
            <w:pPr>
              <w:jc w:val="center"/>
              <w:rPr>
                <w:rFonts w:ascii="Arial" w:hAnsi="Arial" w:cs="Arial"/>
                <w:b/>
                <w:bCs/>
                <w:sz w:val="18"/>
                <w:szCs w:val="18"/>
              </w:rPr>
            </w:pPr>
            <w:r w:rsidRPr="00220186">
              <w:rPr>
                <w:rFonts w:ascii="Arial" w:hAnsi="Arial" w:cs="Arial"/>
                <w:b/>
                <w:bCs/>
                <w:sz w:val="18"/>
                <w:szCs w:val="18"/>
              </w:rPr>
              <w:t>All 5 Major</w:t>
            </w:r>
            <w:r>
              <w:rPr>
                <w:rFonts w:ascii="Arial" w:hAnsi="Arial" w:cs="Arial"/>
                <w:b/>
                <w:bCs/>
                <w:sz w:val="18"/>
                <w:szCs w:val="18"/>
              </w:rPr>
              <w:br/>
              <w:t>Outcomes</w:t>
            </w:r>
            <w:r>
              <w:rPr>
                <w:rFonts w:ascii="Arial" w:hAnsi="Arial" w:cs="Arial"/>
                <w:b/>
                <w:bCs/>
                <w:sz w:val="18"/>
                <w:szCs w:val="18"/>
              </w:rPr>
              <w:br/>
              <w:t>Demonstrated/</w:t>
            </w:r>
            <w:r>
              <w:rPr>
                <w:rFonts w:ascii="Arial" w:hAnsi="Arial" w:cs="Arial"/>
                <w:b/>
                <w:bCs/>
                <w:sz w:val="18"/>
                <w:szCs w:val="18"/>
              </w:rPr>
              <w:br/>
              <w:t>Met</w:t>
            </w:r>
          </w:p>
          <w:p w:rsidR="00810C20" w:rsidRPr="00220186" w:rsidRDefault="00810C20" w:rsidP="00D81564">
            <w:pPr>
              <w:jc w:val="center"/>
              <w:rPr>
                <w:rFonts w:ascii="Arial" w:hAnsi="Arial" w:cs="Arial"/>
                <w:b/>
                <w:bCs/>
                <w:sz w:val="18"/>
                <w:szCs w:val="18"/>
              </w:rPr>
            </w:pPr>
            <w:r>
              <w:rPr>
                <w:rFonts w:ascii="Arial" w:hAnsi="Arial" w:cs="Arial"/>
                <w:b/>
                <w:bCs/>
                <w:sz w:val="18"/>
                <w:szCs w:val="18"/>
              </w:rPr>
              <w:br/>
              <w:t>5</w:t>
            </w:r>
          </w:p>
        </w:tc>
        <w:tc>
          <w:tcPr>
            <w:tcW w:w="1577" w:type="dxa"/>
            <w:tcBorders>
              <w:top w:val="nil"/>
              <w:left w:val="nil"/>
              <w:right w:val="single" w:sz="4" w:space="0" w:color="auto"/>
            </w:tcBorders>
            <w:shd w:val="clear" w:color="000000" w:fill="C0C0C0"/>
            <w:hideMark/>
          </w:tcPr>
          <w:p w:rsidR="00810C20" w:rsidRDefault="00810C20" w:rsidP="00D81564">
            <w:pPr>
              <w:jc w:val="center"/>
              <w:rPr>
                <w:rFonts w:ascii="Arial" w:hAnsi="Arial" w:cs="Arial"/>
                <w:b/>
                <w:bCs/>
                <w:sz w:val="18"/>
                <w:szCs w:val="18"/>
              </w:rPr>
            </w:pPr>
            <w:r>
              <w:rPr>
                <w:rFonts w:ascii="Arial" w:hAnsi="Arial" w:cs="Arial"/>
                <w:b/>
                <w:bCs/>
                <w:sz w:val="18"/>
                <w:szCs w:val="18"/>
              </w:rPr>
              <w:t xml:space="preserve">4 </w:t>
            </w:r>
            <w:r w:rsidRPr="00220186">
              <w:rPr>
                <w:rFonts w:ascii="Arial" w:hAnsi="Arial" w:cs="Arial"/>
                <w:b/>
                <w:bCs/>
                <w:sz w:val="18"/>
                <w:szCs w:val="18"/>
              </w:rPr>
              <w:t xml:space="preserve"> Major</w:t>
            </w:r>
            <w:r>
              <w:rPr>
                <w:rFonts w:ascii="Arial" w:hAnsi="Arial" w:cs="Arial"/>
                <w:b/>
                <w:bCs/>
                <w:sz w:val="18"/>
                <w:szCs w:val="18"/>
              </w:rPr>
              <w:br/>
              <w:t>Outcomes</w:t>
            </w:r>
            <w:r>
              <w:rPr>
                <w:rFonts w:ascii="Arial" w:hAnsi="Arial" w:cs="Arial"/>
                <w:b/>
                <w:bCs/>
                <w:sz w:val="18"/>
                <w:szCs w:val="18"/>
              </w:rPr>
              <w:br/>
              <w:t>Demonstrated/</w:t>
            </w:r>
            <w:r>
              <w:rPr>
                <w:rFonts w:ascii="Arial" w:hAnsi="Arial" w:cs="Arial"/>
                <w:b/>
                <w:bCs/>
                <w:sz w:val="18"/>
                <w:szCs w:val="18"/>
              </w:rPr>
              <w:br/>
              <w:t>Met</w:t>
            </w:r>
          </w:p>
          <w:p w:rsidR="00810C20" w:rsidRPr="00220186" w:rsidRDefault="00810C20" w:rsidP="00D81564">
            <w:pPr>
              <w:jc w:val="center"/>
              <w:rPr>
                <w:rFonts w:ascii="Arial" w:hAnsi="Arial" w:cs="Arial"/>
                <w:b/>
                <w:bCs/>
                <w:sz w:val="18"/>
                <w:szCs w:val="18"/>
              </w:rPr>
            </w:pPr>
            <w:r>
              <w:rPr>
                <w:rFonts w:ascii="Arial" w:hAnsi="Arial" w:cs="Arial"/>
                <w:b/>
                <w:bCs/>
                <w:sz w:val="18"/>
                <w:szCs w:val="18"/>
              </w:rPr>
              <w:br/>
              <w:t>4</w:t>
            </w:r>
          </w:p>
        </w:tc>
        <w:tc>
          <w:tcPr>
            <w:tcW w:w="1577" w:type="dxa"/>
            <w:tcBorders>
              <w:top w:val="nil"/>
              <w:left w:val="nil"/>
              <w:right w:val="single" w:sz="4" w:space="0" w:color="auto"/>
            </w:tcBorders>
            <w:shd w:val="clear" w:color="000000" w:fill="C0C0C0"/>
            <w:hideMark/>
          </w:tcPr>
          <w:p w:rsidR="00810C20" w:rsidRDefault="00810C20" w:rsidP="00D81564">
            <w:pPr>
              <w:jc w:val="center"/>
              <w:rPr>
                <w:rFonts w:ascii="Arial" w:hAnsi="Arial" w:cs="Arial"/>
                <w:b/>
                <w:bCs/>
                <w:sz w:val="18"/>
                <w:szCs w:val="18"/>
              </w:rPr>
            </w:pPr>
            <w:r>
              <w:rPr>
                <w:rFonts w:ascii="Arial" w:hAnsi="Arial" w:cs="Arial"/>
                <w:b/>
                <w:bCs/>
                <w:sz w:val="18"/>
                <w:szCs w:val="18"/>
              </w:rPr>
              <w:t xml:space="preserve">3 </w:t>
            </w:r>
            <w:r w:rsidRPr="00220186">
              <w:rPr>
                <w:rFonts w:ascii="Arial" w:hAnsi="Arial" w:cs="Arial"/>
                <w:b/>
                <w:bCs/>
                <w:sz w:val="18"/>
                <w:szCs w:val="18"/>
              </w:rPr>
              <w:t xml:space="preserve"> Major</w:t>
            </w:r>
            <w:r>
              <w:rPr>
                <w:rFonts w:ascii="Arial" w:hAnsi="Arial" w:cs="Arial"/>
                <w:b/>
                <w:bCs/>
                <w:sz w:val="18"/>
                <w:szCs w:val="18"/>
              </w:rPr>
              <w:br/>
              <w:t>Outcomes</w:t>
            </w:r>
            <w:r>
              <w:rPr>
                <w:rFonts w:ascii="Arial" w:hAnsi="Arial" w:cs="Arial"/>
                <w:b/>
                <w:bCs/>
                <w:sz w:val="18"/>
                <w:szCs w:val="18"/>
              </w:rPr>
              <w:br/>
              <w:t>Demonstrated/</w:t>
            </w:r>
            <w:r>
              <w:rPr>
                <w:rFonts w:ascii="Arial" w:hAnsi="Arial" w:cs="Arial"/>
                <w:b/>
                <w:bCs/>
                <w:sz w:val="18"/>
                <w:szCs w:val="18"/>
              </w:rPr>
              <w:br/>
              <w:t>Met</w:t>
            </w:r>
          </w:p>
          <w:p w:rsidR="00810C20" w:rsidRPr="00220186" w:rsidRDefault="00810C20" w:rsidP="00D81564">
            <w:pPr>
              <w:jc w:val="center"/>
              <w:rPr>
                <w:rFonts w:ascii="Arial" w:hAnsi="Arial" w:cs="Arial"/>
                <w:b/>
                <w:bCs/>
                <w:sz w:val="18"/>
                <w:szCs w:val="18"/>
              </w:rPr>
            </w:pPr>
            <w:r>
              <w:rPr>
                <w:rFonts w:ascii="Arial" w:hAnsi="Arial" w:cs="Arial"/>
                <w:b/>
                <w:bCs/>
                <w:sz w:val="18"/>
                <w:szCs w:val="18"/>
              </w:rPr>
              <w:br/>
              <w:t>3</w:t>
            </w:r>
          </w:p>
        </w:tc>
        <w:tc>
          <w:tcPr>
            <w:tcW w:w="1577" w:type="dxa"/>
            <w:tcBorders>
              <w:top w:val="nil"/>
              <w:left w:val="nil"/>
              <w:right w:val="single" w:sz="4" w:space="0" w:color="auto"/>
            </w:tcBorders>
            <w:shd w:val="clear" w:color="000000" w:fill="C0C0C0"/>
            <w:hideMark/>
          </w:tcPr>
          <w:p w:rsidR="00810C20" w:rsidRDefault="00810C20" w:rsidP="00D81564">
            <w:pPr>
              <w:jc w:val="center"/>
              <w:rPr>
                <w:rFonts w:ascii="Arial" w:hAnsi="Arial" w:cs="Arial"/>
                <w:b/>
                <w:bCs/>
                <w:sz w:val="18"/>
                <w:szCs w:val="18"/>
              </w:rPr>
            </w:pPr>
            <w:r w:rsidRPr="00220186">
              <w:rPr>
                <w:rFonts w:ascii="Arial" w:hAnsi="Arial" w:cs="Arial"/>
                <w:b/>
                <w:bCs/>
                <w:sz w:val="18"/>
                <w:szCs w:val="18"/>
              </w:rPr>
              <w:t>2 Major</w:t>
            </w:r>
            <w:r>
              <w:rPr>
                <w:rFonts w:ascii="Arial" w:hAnsi="Arial" w:cs="Arial"/>
                <w:b/>
                <w:bCs/>
                <w:sz w:val="18"/>
                <w:szCs w:val="18"/>
              </w:rPr>
              <w:br/>
              <w:t>Outcomes</w:t>
            </w:r>
            <w:r>
              <w:rPr>
                <w:rFonts w:ascii="Arial" w:hAnsi="Arial" w:cs="Arial"/>
                <w:b/>
                <w:bCs/>
                <w:sz w:val="18"/>
                <w:szCs w:val="18"/>
              </w:rPr>
              <w:br/>
              <w:t>Demonstrated/</w:t>
            </w:r>
            <w:r>
              <w:rPr>
                <w:rFonts w:ascii="Arial" w:hAnsi="Arial" w:cs="Arial"/>
                <w:b/>
                <w:bCs/>
                <w:sz w:val="18"/>
                <w:szCs w:val="18"/>
              </w:rPr>
              <w:br/>
              <w:t>Met</w:t>
            </w:r>
          </w:p>
          <w:p w:rsidR="00810C20" w:rsidRPr="00220186" w:rsidRDefault="00810C20" w:rsidP="00D81564">
            <w:pPr>
              <w:jc w:val="center"/>
              <w:rPr>
                <w:rFonts w:ascii="Arial" w:hAnsi="Arial" w:cs="Arial"/>
                <w:b/>
                <w:bCs/>
                <w:sz w:val="18"/>
                <w:szCs w:val="18"/>
              </w:rPr>
            </w:pPr>
            <w:r>
              <w:rPr>
                <w:rFonts w:ascii="Arial" w:hAnsi="Arial" w:cs="Arial"/>
                <w:b/>
                <w:bCs/>
                <w:sz w:val="18"/>
                <w:szCs w:val="18"/>
              </w:rPr>
              <w:br/>
              <w:t>2</w:t>
            </w:r>
          </w:p>
        </w:tc>
        <w:tc>
          <w:tcPr>
            <w:tcW w:w="1617" w:type="dxa"/>
            <w:tcBorders>
              <w:top w:val="nil"/>
              <w:left w:val="nil"/>
              <w:right w:val="single" w:sz="4" w:space="0" w:color="auto"/>
            </w:tcBorders>
            <w:shd w:val="clear" w:color="000000" w:fill="C0C0C0"/>
            <w:hideMark/>
          </w:tcPr>
          <w:p w:rsidR="00810C20" w:rsidRDefault="00810C20" w:rsidP="00D81564">
            <w:pPr>
              <w:jc w:val="center"/>
              <w:rPr>
                <w:rFonts w:ascii="Arial" w:hAnsi="Arial" w:cs="Arial"/>
                <w:b/>
                <w:bCs/>
                <w:sz w:val="18"/>
                <w:szCs w:val="18"/>
              </w:rPr>
            </w:pPr>
            <w:r w:rsidRPr="00220186">
              <w:rPr>
                <w:rFonts w:ascii="Arial" w:hAnsi="Arial" w:cs="Arial"/>
                <w:b/>
                <w:bCs/>
                <w:sz w:val="18"/>
                <w:szCs w:val="18"/>
              </w:rPr>
              <w:t>Only 1 or 0* Major</w:t>
            </w:r>
            <w:r>
              <w:rPr>
                <w:rFonts w:ascii="Arial" w:hAnsi="Arial" w:cs="Arial"/>
                <w:b/>
                <w:bCs/>
                <w:sz w:val="18"/>
                <w:szCs w:val="18"/>
              </w:rPr>
              <w:br/>
              <w:t>Outcomes</w:t>
            </w:r>
            <w:r>
              <w:rPr>
                <w:rFonts w:ascii="Arial" w:hAnsi="Arial" w:cs="Arial"/>
                <w:b/>
                <w:bCs/>
                <w:sz w:val="18"/>
                <w:szCs w:val="18"/>
              </w:rPr>
              <w:br/>
              <w:t>Demonstrated/</w:t>
            </w:r>
            <w:r>
              <w:rPr>
                <w:rFonts w:ascii="Arial" w:hAnsi="Arial" w:cs="Arial"/>
                <w:b/>
                <w:bCs/>
                <w:sz w:val="18"/>
                <w:szCs w:val="18"/>
              </w:rPr>
              <w:br/>
              <w:t>Met</w:t>
            </w:r>
          </w:p>
          <w:p w:rsidR="00810C20" w:rsidRPr="00220186" w:rsidRDefault="00810C20" w:rsidP="00D81564">
            <w:pPr>
              <w:jc w:val="center"/>
              <w:rPr>
                <w:rFonts w:ascii="Arial" w:hAnsi="Arial" w:cs="Arial"/>
                <w:b/>
                <w:bCs/>
                <w:sz w:val="18"/>
                <w:szCs w:val="18"/>
              </w:rPr>
            </w:pPr>
            <w:r>
              <w:rPr>
                <w:rFonts w:ascii="Arial" w:hAnsi="Arial" w:cs="Arial"/>
                <w:b/>
                <w:bCs/>
                <w:sz w:val="18"/>
                <w:szCs w:val="18"/>
              </w:rPr>
              <w:t>1 or 0</w:t>
            </w:r>
          </w:p>
        </w:tc>
        <w:tc>
          <w:tcPr>
            <w:tcW w:w="1157" w:type="dxa"/>
            <w:tcBorders>
              <w:top w:val="nil"/>
              <w:left w:val="nil"/>
              <w:right w:val="single" w:sz="4" w:space="0" w:color="auto"/>
            </w:tcBorders>
            <w:shd w:val="clear" w:color="000000" w:fill="BFBFBF"/>
            <w:noWrap/>
            <w:hideMark/>
          </w:tcPr>
          <w:p w:rsidR="00810C20" w:rsidRPr="00220186" w:rsidRDefault="00810C20" w:rsidP="00220186">
            <w:pPr>
              <w:jc w:val="center"/>
              <w:rPr>
                <w:rFonts w:ascii="Arial" w:hAnsi="Arial" w:cs="Arial"/>
                <w:b/>
                <w:bCs/>
                <w:sz w:val="18"/>
                <w:szCs w:val="18"/>
              </w:rPr>
            </w:pPr>
            <w:r w:rsidRPr="00220186">
              <w:rPr>
                <w:rFonts w:ascii="Arial" w:hAnsi="Arial" w:cs="Arial"/>
                <w:b/>
                <w:bCs/>
                <w:sz w:val="18"/>
                <w:szCs w:val="18"/>
              </w:rPr>
              <w:t>Total</w:t>
            </w:r>
            <w:r>
              <w:rPr>
                <w:rFonts w:ascii="Arial" w:hAnsi="Arial" w:cs="Arial"/>
                <w:b/>
                <w:bCs/>
                <w:sz w:val="18"/>
                <w:szCs w:val="18"/>
              </w:rPr>
              <w:br/>
              <w:t>Number</w:t>
            </w:r>
            <w:r>
              <w:rPr>
                <w:rFonts w:ascii="Arial" w:hAnsi="Arial" w:cs="Arial"/>
                <w:b/>
                <w:bCs/>
                <w:sz w:val="18"/>
                <w:szCs w:val="18"/>
              </w:rPr>
              <w:br/>
              <w:t>of</w:t>
            </w:r>
            <w:r>
              <w:rPr>
                <w:rFonts w:ascii="Arial" w:hAnsi="Arial" w:cs="Arial"/>
                <w:b/>
                <w:bCs/>
                <w:sz w:val="18"/>
                <w:szCs w:val="18"/>
              </w:rPr>
              <w:br/>
              <w:t>Students</w:t>
            </w:r>
            <w:r>
              <w:rPr>
                <w:rFonts w:ascii="Arial" w:hAnsi="Arial" w:cs="Arial"/>
                <w:b/>
                <w:bCs/>
                <w:sz w:val="18"/>
                <w:szCs w:val="18"/>
              </w:rPr>
              <w:br/>
              <w:t>Assessed</w:t>
            </w:r>
          </w:p>
          <w:p w:rsidR="00810C20" w:rsidRPr="00220186" w:rsidRDefault="00810C20" w:rsidP="00220186">
            <w:pPr>
              <w:jc w:val="center"/>
              <w:rPr>
                <w:rFonts w:ascii="Arial" w:hAnsi="Arial" w:cs="Arial"/>
                <w:b/>
                <w:bCs/>
                <w:sz w:val="18"/>
                <w:szCs w:val="18"/>
              </w:rPr>
            </w:pPr>
          </w:p>
        </w:tc>
      </w:tr>
      <w:tr w:rsidR="003F4F6D" w:rsidRPr="0058394E" w:rsidTr="00810C20">
        <w:trPr>
          <w:trHeight w:val="267"/>
        </w:trPr>
        <w:tc>
          <w:tcPr>
            <w:tcW w:w="1353" w:type="dxa"/>
            <w:vMerge w:val="restart"/>
            <w:tcBorders>
              <w:top w:val="nil"/>
              <w:left w:val="single" w:sz="4" w:space="0" w:color="auto"/>
              <w:bottom w:val="single" w:sz="4" w:space="0" w:color="000000"/>
              <w:right w:val="single" w:sz="4" w:space="0" w:color="auto"/>
            </w:tcBorders>
            <w:shd w:val="clear" w:color="000000" w:fill="B8CCE4"/>
            <w:noWrap/>
            <w:vAlign w:val="center"/>
            <w:hideMark/>
          </w:tcPr>
          <w:p w:rsidR="003F4F6D" w:rsidRPr="0058394E" w:rsidRDefault="003F4F6D" w:rsidP="00C3664F">
            <w:pPr>
              <w:jc w:val="center"/>
              <w:rPr>
                <w:rFonts w:ascii="Arial" w:hAnsi="Arial" w:cs="Arial"/>
                <w:b/>
                <w:bCs/>
                <w:sz w:val="20"/>
                <w:szCs w:val="20"/>
              </w:rPr>
            </w:pPr>
            <w:r w:rsidRPr="0058394E">
              <w:rPr>
                <w:rFonts w:ascii="Arial" w:hAnsi="Arial" w:cs="Arial"/>
                <w:b/>
                <w:bCs/>
                <w:sz w:val="20"/>
                <w:szCs w:val="20"/>
              </w:rPr>
              <w:t>2007-2008</w:t>
            </w:r>
            <w:r w:rsidR="003637C7">
              <w:rPr>
                <w:rFonts w:ascii="Arial" w:hAnsi="Arial" w:cs="Arial"/>
                <w:b/>
                <w:bCs/>
                <w:sz w:val="20"/>
                <w:szCs w:val="20"/>
              </w:rPr>
              <w:br/>
            </w:r>
            <w:r w:rsidR="003637C7" w:rsidRPr="003637C7">
              <w:rPr>
                <w:rFonts w:ascii="Arial" w:hAnsi="Arial" w:cs="Arial"/>
                <w:b/>
                <w:bCs/>
                <w:sz w:val="18"/>
                <w:szCs w:val="18"/>
              </w:rPr>
              <w:t>Number and Per</w:t>
            </w:r>
            <w:r w:rsidR="003637C7">
              <w:rPr>
                <w:rFonts w:ascii="Arial" w:hAnsi="Arial" w:cs="Arial"/>
                <w:b/>
                <w:bCs/>
                <w:sz w:val="18"/>
                <w:szCs w:val="18"/>
              </w:rPr>
              <w:t>c</w:t>
            </w:r>
            <w:r w:rsidR="003637C7" w:rsidRPr="003637C7">
              <w:rPr>
                <w:rFonts w:ascii="Arial" w:hAnsi="Arial" w:cs="Arial"/>
                <w:b/>
                <w:bCs/>
                <w:sz w:val="18"/>
                <w:szCs w:val="18"/>
              </w:rPr>
              <w:t>entage</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0</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0</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83</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12</w:t>
            </w:r>
          </w:p>
        </w:tc>
        <w:tc>
          <w:tcPr>
            <w:tcW w:w="161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w:t>
            </w:r>
          </w:p>
        </w:tc>
        <w:tc>
          <w:tcPr>
            <w:tcW w:w="11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99</w:t>
            </w:r>
          </w:p>
        </w:tc>
      </w:tr>
      <w:tr w:rsidR="003F4F6D" w:rsidRPr="0058394E" w:rsidTr="00810C20">
        <w:trPr>
          <w:trHeight w:val="267"/>
        </w:trPr>
        <w:tc>
          <w:tcPr>
            <w:tcW w:w="1353" w:type="dxa"/>
            <w:vMerge/>
            <w:tcBorders>
              <w:top w:val="nil"/>
              <w:left w:val="single" w:sz="4" w:space="0" w:color="auto"/>
              <w:bottom w:val="single" w:sz="4" w:space="0" w:color="000000"/>
              <w:right w:val="single" w:sz="4" w:space="0" w:color="auto"/>
            </w:tcBorders>
            <w:vAlign w:val="center"/>
            <w:hideMark/>
          </w:tcPr>
          <w:p w:rsidR="003F4F6D" w:rsidRPr="0058394E" w:rsidRDefault="003F4F6D" w:rsidP="00C3664F">
            <w:pPr>
              <w:jc w:val="center"/>
              <w:rPr>
                <w:rFonts w:ascii="Arial" w:hAnsi="Arial" w:cs="Arial"/>
                <w:b/>
                <w:bCs/>
                <w:sz w:val="20"/>
                <w:szCs w:val="20"/>
              </w:rPr>
            </w:pP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0%</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0%</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84%</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12%</w:t>
            </w:r>
          </w:p>
        </w:tc>
        <w:tc>
          <w:tcPr>
            <w:tcW w:w="161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w:t>
            </w:r>
          </w:p>
        </w:tc>
        <w:tc>
          <w:tcPr>
            <w:tcW w:w="1157" w:type="dxa"/>
            <w:vMerge/>
            <w:tcBorders>
              <w:top w:val="nil"/>
              <w:left w:val="single" w:sz="4" w:space="0" w:color="auto"/>
              <w:bottom w:val="single" w:sz="4" w:space="0" w:color="000000"/>
              <w:right w:val="single" w:sz="4" w:space="0" w:color="auto"/>
            </w:tcBorders>
            <w:vAlign w:val="center"/>
            <w:hideMark/>
          </w:tcPr>
          <w:p w:rsidR="003F4F6D" w:rsidRPr="0058394E" w:rsidRDefault="003F4F6D" w:rsidP="00810C20">
            <w:pPr>
              <w:jc w:val="center"/>
              <w:rPr>
                <w:rFonts w:ascii="Arial" w:hAnsi="Arial" w:cs="Arial"/>
                <w:sz w:val="20"/>
                <w:szCs w:val="20"/>
              </w:rPr>
            </w:pPr>
          </w:p>
        </w:tc>
      </w:tr>
      <w:tr w:rsidR="003F4F6D" w:rsidRPr="0058394E" w:rsidTr="00810C20">
        <w:trPr>
          <w:trHeight w:val="267"/>
        </w:trPr>
        <w:tc>
          <w:tcPr>
            <w:tcW w:w="1353" w:type="dxa"/>
            <w:vMerge w:val="restart"/>
            <w:tcBorders>
              <w:top w:val="nil"/>
              <w:left w:val="single" w:sz="4" w:space="0" w:color="auto"/>
              <w:bottom w:val="single" w:sz="4" w:space="0" w:color="000000"/>
              <w:right w:val="single" w:sz="4" w:space="0" w:color="auto"/>
            </w:tcBorders>
            <w:shd w:val="clear" w:color="000000" w:fill="E6B9B8"/>
            <w:noWrap/>
            <w:vAlign w:val="center"/>
            <w:hideMark/>
          </w:tcPr>
          <w:p w:rsidR="003F4F6D" w:rsidRPr="0058394E" w:rsidRDefault="003F4F6D" w:rsidP="00C3664F">
            <w:pPr>
              <w:jc w:val="center"/>
              <w:rPr>
                <w:rFonts w:ascii="Arial" w:hAnsi="Arial" w:cs="Arial"/>
                <w:b/>
                <w:bCs/>
                <w:sz w:val="20"/>
                <w:szCs w:val="20"/>
              </w:rPr>
            </w:pPr>
            <w:r w:rsidRPr="0058394E">
              <w:rPr>
                <w:rFonts w:ascii="Arial" w:hAnsi="Arial" w:cs="Arial"/>
                <w:b/>
                <w:bCs/>
                <w:sz w:val="20"/>
                <w:szCs w:val="20"/>
              </w:rPr>
              <w:t>2008-2009</w:t>
            </w:r>
            <w:r w:rsidR="003637C7">
              <w:rPr>
                <w:rFonts w:ascii="Arial" w:hAnsi="Arial" w:cs="Arial"/>
                <w:b/>
                <w:bCs/>
                <w:sz w:val="20"/>
                <w:szCs w:val="20"/>
              </w:rPr>
              <w:br/>
            </w:r>
            <w:r w:rsidR="003637C7" w:rsidRPr="003637C7">
              <w:rPr>
                <w:rFonts w:ascii="Arial" w:hAnsi="Arial" w:cs="Arial"/>
                <w:b/>
                <w:bCs/>
                <w:sz w:val="18"/>
                <w:szCs w:val="18"/>
              </w:rPr>
              <w:t>Number and Per</w:t>
            </w:r>
            <w:r w:rsidR="003637C7">
              <w:rPr>
                <w:rFonts w:ascii="Arial" w:hAnsi="Arial" w:cs="Arial"/>
                <w:b/>
                <w:bCs/>
                <w:sz w:val="18"/>
                <w:szCs w:val="18"/>
              </w:rPr>
              <w:t>c</w:t>
            </w:r>
            <w:r w:rsidR="003637C7" w:rsidRPr="003637C7">
              <w:rPr>
                <w:rFonts w:ascii="Arial" w:hAnsi="Arial" w:cs="Arial"/>
                <w:b/>
                <w:bCs/>
                <w:sz w:val="18"/>
                <w:szCs w:val="18"/>
              </w:rPr>
              <w:t>entage</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31</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16</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41</w:t>
            </w:r>
          </w:p>
        </w:tc>
        <w:tc>
          <w:tcPr>
            <w:tcW w:w="157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9</w:t>
            </w:r>
          </w:p>
        </w:tc>
        <w:tc>
          <w:tcPr>
            <w:tcW w:w="1617" w:type="dxa"/>
            <w:tcBorders>
              <w:top w:val="nil"/>
              <w:left w:val="nil"/>
              <w:bottom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5</w:t>
            </w:r>
          </w:p>
        </w:tc>
        <w:tc>
          <w:tcPr>
            <w:tcW w:w="11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102</w:t>
            </w:r>
          </w:p>
        </w:tc>
      </w:tr>
      <w:tr w:rsidR="003F4F6D" w:rsidRPr="0058394E" w:rsidTr="00810C20">
        <w:trPr>
          <w:trHeight w:val="267"/>
        </w:trPr>
        <w:tc>
          <w:tcPr>
            <w:tcW w:w="1353" w:type="dxa"/>
            <w:vMerge/>
            <w:tcBorders>
              <w:top w:val="nil"/>
              <w:left w:val="single" w:sz="4" w:space="0" w:color="auto"/>
              <w:bottom w:val="single" w:sz="4" w:space="0" w:color="000000"/>
              <w:right w:val="single" w:sz="4" w:space="0" w:color="auto"/>
            </w:tcBorders>
            <w:vAlign w:val="center"/>
            <w:hideMark/>
          </w:tcPr>
          <w:p w:rsidR="003F4F6D" w:rsidRPr="0058394E" w:rsidRDefault="003F4F6D" w:rsidP="00C3664F">
            <w:pPr>
              <w:jc w:val="center"/>
              <w:rPr>
                <w:rFonts w:ascii="Arial" w:hAnsi="Arial" w:cs="Arial"/>
                <w:b/>
                <w:bCs/>
                <w:sz w:val="20"/>
                <w:szCs w:val="20"/>
              </w:rPr>
            </w:pP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30%</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16%</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40%</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9%</w:t>
            </w:r>
          </w:p>
        </w:tc>
        <w:tc>
          <w:tcPr>
            <w:tcW w:w="161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5%</w:t>
            </w:r>
          </w:p>
        </w:tc>
        <w:tc>
          <w:tcPr>
            <w:tcW w:w="1157" w:type="dxa"/>
            <w:vMerge/>
            <w:tcBorders>
              <w:top w:val="nil"/>
              <w:left w:val="single" w:sz="4" w:space="0" w:color="auto"/>
              <w:bottom w:val="single" w:sz="4" w:space="0" w:color="000000"/>
              <w:right w:val="single" w:sz="4" w:space="0" w:color="auto"/>
            </w:tcBorders>
            <w:vAlign w:val="center"/>
            <w:hideMark/>
          </w:tcPr>
          <w:p w:rsidR="003F4F6D" w:rsidRPr="0058394E" w:rsidRDefault="003F4F6D" w:rsidP="00810C20">
            <w:pPr>
              <w:jc w:val="center"/>
              <w:rPr>
                <w:rFonts w:ascii="Arial" w:hAnsi="Arial" w:cs="Arial"/>
                <w:sz w:val="20"/>
                <w:szCs w:val="20"/>
              </w:rPr>
            </w:pPr>
          </w:p>
        </w:tc>
      </w:tr>
      <w:tr w:rsidR="003F4F6D" w:rsidRPr="0058394E" w:rsidTr="00810C20">
        <w:trPr>
          <w:trHeight w:val="267"/>
        </w:trPr>
        <w:tc>
          <w:tcPr>
            <w:tcW w:w="1353" w:type="dxa"/>
            <w:vMerge w:val="restart"/>
            <w:tcBorders>
              <w:top w:val="single" w:sz="4" w:space="0" w:color="000000"/>
              <w:left w:val="single" w:sz="4" w:space="0" w:color="auto"/>
              <w:bottom w:val="single" w:sz="4" w:space="0" w:color="000000"/>
              <w:right w:val="single" w:sz="4" w:space="0" w:color="auto"/>
            </w:tcBorders>
            <w:shd w:val="clear" w:color="auto" w:fill="FABF8F" w:themeFill="accent6" w:themeFillTint="99"/>
            <w:noWrap/>
            <w:vAlign w:val="center"/>
            <w:hideMark/>
          </w:tcPr>
          <w:p w:rsidR="003F4F6D" w:rsidRPr="0058394E" w:rsidRDefault="003F4F6D" w:rsidP="00C3664F">
            <w:pPr>
              <w:jc w:val="center"/>
              <w:rPr>
                <w:rFonts w:ascii="Arial" w:hAnsi="Arial" w:cs="Arial"/>
                <w:b/>
                <w:bCs/>
                <w:sz w:val="20"/>
                <w:szCs w:val="20"/>
              </w:rPr>
            </w:pPr>
            <w:r w:rsidRPr="0058394E">
              <w:rPr>
                <w:rFonts w:ascii="Arial" w:hAnsi="Arial" w:cs="Arial"/>
                <w:b/>
                <w:bCs/>
                <w:sz w:val="20"/>
                <w:szCs w:val="20"/>
              </w:rPr>
              <w:t>2009-2010</w:t>
            </w:r>
            <w:r w:rsidR="003637C7">
              <w:rPr>
                <w:rFonts w:ascii="Arial" w:hAnsi="Arial" w:cs="Arial"/>
                <w:b/>
                <w:bCs/>
                <w:sz w:val="20"/>
                <w:szCs w:val="20"/>
              </w:rPr>
              <w:br/>
            </w:r>
            <w:r w:rsidR="003637C7" w:rsidRPr="003637C7">
              <w:rPr>
                <w:rFonts w:ascii="Arial" w:hAnsi="Arial" w:cs="Arial"/>
                <w:b/>
                <w:bCs/>
                <w:sz w:val="18"/>
                <w:szCs w:val="18"/>
              </w:rPr>
              <w:t>Number and Per</w:t>
            </w:r>
            <w:r w:rsidR="003637C7">
              <w:rPr>
                <w:rFonts w:ascii="Arial" w:hAnsi="Arial" w:cs="Arial"/>
                <w:b/>
                <w:bCs/>
                <w:sz w:val="18"/>
                <w:szCs w:val="18"/>
              </w:rPr>
              <w:t>c</w:t>
            </w:r>
            <w:r w:rsidR="003637C7" w:rsidRPr="003637C7">
              <w:rPr>
                <w:rFonts w:ascii="Arial" w:hAnsi="Arial" w:cs="Arial"/>
                <w:b/>
                <w:bCs/>
                <w:sz w:val="18"/>
                <w:szCs w:val="18"/>
              </w:rPr>
              <w:t>entage</w:t>
            </w:r>
          </w:p>
        </w:tc>
        <w:tc>
          <w:tcPr>
            <w:tcW w:w="1577" w:type="dxa"/>
            <w:tcBorders>
              <w:top w:val="nil"/>
              <w:left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7</w:t>
            </w:r>
          </w:p>
        </w:tc>
        <w:tc>
          <w:tcPr>
            <w:tcW w:w="1577" w:type="dxa"/>
            <w:tcBorders>
              <w:top w:val="nil"/>
              <w:left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40</w:t>
            </w:r>
          </w:p>
        </w:tc>
        <w:tc>
          <w:tcPr>
            <w:tcW w:w="1577" w:type="dxa"/>
            <w:tcBorders>
              <w:top w:val="nil"/>
              <w:left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40</w:t>
            </w:r>
          </w:p>
        </w:tc>
        <w:tc>
          <w:tcPr>
            <w:tcW w:w="1577" w:type="dxa"/>
            <w:tcBorders>
              <w:top w:val="nil"/>
              <w:left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w:t>
            </w:r>
          </w:p>
        </w:tc>
        <w:tc>
          <w:tcPr>
            <w:tcW w:w="1617" w:type="dxa"/>
            <w:tcBorders>
              <w:top w:val="nil"/>
              <w:left w:val="nil"/>
              <w:right w:val="single" w:sz="4" w:space="0" w:color="auto"/>
            </w:tcBorders>
            <w:shd w:val="clear" w:color="auto" w:fill="auto"/>
            <w:noWrap/>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1</w:t>
            </w:r>
          </w:p>
        </w:tc>
        <w:tc>
          <w:tcPr>
            <w:tcW w:w="1157"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94</w:t>
            </w:r>
          </w:p>
        </w:tc>
      </w:tr>
      <w:tr w:rsidR="003F4F6D" w:rsidRPr="0058394E" w:rsidTr="00810C20">
        <w:trPr>
          <w:trHeight w:val="267"/>
        </w:trPr>
        <w:tc>
          <w:tcPr>
            <w:tcW w:w="1353" w:type="dxa"/>
            <w:vMerge/>
            <w:tcBorders>
              <w:top w:val="single" w:sz="4" w:space="0" w:color="000000"/>
              <w:left w:val="single" w:sz="4" w:space="0" w:color="auto"/>
              <w:bottom w:val="single" w:sz="4" w:space="0" w:color="000000"/>
              <w:right w:val="single" w:sz="4" w:space="0" w:color="auto"/>
            </w:tcBorders>
            <w:shd w:val="clear" w:color="auto" w:fill="FABF8F" w:themeFill="accent6" w:themeFillTint="99"/>
            <w:vAlign w:val="center"/>
            <w:hideMark/>
          </w:tcPr>
          <w:p w:rsidR="003F4F6D" w:rsidRPr="0058394E" w:rsidRDefault="003F4F6D" w:rsidP="00C3664F">
            <w:pPr>
              <w:jc w:val="center"/>
              <w:rPr>
                <w:rFonts w:ascii="Arial" w:hAnsi="Arial" w:cs="Arial"/>
                <w:b/>
                <w:bCs/>
                <w:sz w:val="20"/>
                <w:szCs w:val="20"/>
              </w:rPr>
            </w:pP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8%</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43%</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43%</w:t>
            </w:r>
          </w:p>
        </w:tc>
        <w:tc>
          <w:tcPr>
            <w:tcW w:w="157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4%</w:t>
            </w:r>
          </w:p>
        </w:tc>
        <w:tc>
          <w:tcPr>
            <w:tcW w:w="1617" w:type="dxa"/>
            <w:tcBorders>
              <w:top w:val="nil"/>
              <w:left w:val="nil"/>
              <w:bottom w:val="single" w:sz="4" w:space="0" w:color="auto"/>
              <w:right w:val="single" w:sz="4" w:space="0" w:color="auto"/>
            </w:tcBorders>
            <w:shd w:val="clear" w:color="auto" w:fill="auto"/>
            <w:noWrap/>
            <w:vAlign w:val="bottom"/>
            <w:hideMark/>
          </w:tcPr>
          <w:p w:rsidR="003F4F6D" w:rsidRPr="0058394E" w:rsidRDefault="003F4F6D" w:rsidP="00810C20">
            <w:pPr>
              <w:jc w:val="center"/>
              <w:rPr>
                <w:rFonts w:ascii="Arial" w:hAnsi="Arial" w:cs="Arial"/>
                <w:sz w:val="20"/>
                <w:szCs w:val="20"/>
              </w:rPr>
            </w:pPr>
            <w:r w:rsidRPr="0058394E">
              <w:rPr>
                <w:rFonts w:ascii="Arial" w:hAnsi="Arial" w:cs="Arial"/>
                <w:sz w:val="20"/>
                <w:szCs w:val="20"/>
              </w:rPr>
              <w:t>1%</w:t>
            </w:r>
          </w:p>
        </w:tc>
        <w:tc>
          <w:tcPr>
            <w:tcW w:w="1157" w:type="dxa"/>
            <w:vMerge/>
            <w:tcBorders>
              <w:top w:val="single" w:sz="4" w:space="0" w:color="000000"/>
              <w:left w:val="single" w:sz="4" w:space="0" w:color="auto"/>
              <w:bottom w:val="single" w:sz="4" w:space="0" w:color="000000"/>
              <w:right w:val="single" w:sz="4" w:space="0" w:color="auto"/>
            </w:tcBorders>
            <w:vAlign w:val="center"/>
            <w:hideMark/>
          </w:tcPr>
          <w:p w:rsidR="003F4F6D" w:rsidRPr="0058394E" w:rsidRDefault="003F4F6D" w:rsidP="00810C20">
            <w:pPr>
              <w:jc w:val="center"/>
              <w:rPr>
                <w:rFonts w:ascii="Arial" w:hAnsi="Arial" w:cs="Arial"/>
                <w:sz w:val="20"/>
                <w:szCs w:val="20"/>
              </w:rPr>
            </w:pPr>
          </w:p>
        </w:tc>
      </w:tr>
      <w:tr w:rsidR="00341395" w:rsidRPr="00D74200" w:rsidTr="008032D9">
        <w:trPr>
          <w:trHeight w:val="548"/>
        </w:trPr>
        <w:tc>
          <w:tcPr>
            <w:tcW w:w="1353" w:type="dxa"/>
            <w:vMerge w:val="restart"/>
            <w:tcBorders>
              <w:top w:val="single" w:sz="4" w:space="0" w:color="000000"/>
              <w:left w:val="single" w:sz="4" w:space="0" w:color="auto"/>
              <w:right w:val="single" w:sz="4" w:space="0" w:color="auto"/>
            </w:tcBorders>
            <w:shd w:val="clear" w:color="auto" w:fill="BFBFBF" w:themeFill="background1" w:themeFillShade="BF"/>
            <w:vAlign w:val="center"/>
          </w:tcPr>
          <w:p w:rsidR="00341395" w:rsidRPr="0058394E" w:rsidRDefault="00341395" w:rsidP="00C3664F">
            <w:pPr>
              <w:jc w:val="center"/>
              <w:rPr>
                <w:rFonts w:ascii="Arial" w:hAnsi="Arial" w:cs="Arial"/>
                <w:b/>
                <w:bCs/>
                <w:sz w:val="20"/>
                <w:szCs w:val="20"/>
              </w:rPr>
            </w:pPr>
            <w:r>
              <w:rPr>
                <w:rFonts w:ascii="Arial" w:hAnsi="Arial" w:cs="Arial"/>
                <w:b/>
                <w:bCs/>
                <w:sz w:val="20"/>
                <w:szCs w:val="20"/>
              </w:rPr>
              <w:t>2010-2011</w:t>
            </w:r>
            <w:r>
              <w:rPr>
                <w:rFonts w:ascii="Arial" w:hAnsi="Arial" w:cs="Arial"/>
                <w:b/>
                <w:bCs/>
                <w:sz w:val="20"/>
                <w:szCs w:val="20"/>
              </w:rPr>
              <w:br/>
            </w:r>
            <w:r w:rsidRPr="003637C7">
              <w:rPr>
                <w:rFonts w:ascii="Arial" w:hAnsi="Arial" w:cs="Arial"/>
                <w:b/>
                <w:bCs/>
                <w:sz w:val="18"/>
                <w:szCs w:val="18"/>
              </w:rPr>
              <w:t>Number and Per</w:t>
            </w:r>
            <w:r>
              <w:rPr>
                <w:rFonts w:ascii="Arial" w:hAnsi="Arial" w:cs="Arial"/>
                <w:b/>
                <w:bCs/>
                <w:sz w:val="18"/>
                <w:szCs w:val="18"/>
              </w:rPr>
              <w:t>c</w:t>
            </w:r>
            <w:r w:rsidRPr="003637C7">
              <w:rPr>
                <w:rFonts w:ascii="Arial" w:hAnsi="Arial" w:cs="Arial"/>
                <w:b/>
                <w:bCs/>
                <w:sz w:val="18"/>
                <w:szCs w:val="18"/>
              </w:rPr>
              <w:t>entage</w:t>
            </w:r>
            <w:r w:rsidR="00547B58">
              <w:rPr>
                <w:rFonts w:ascii="Arial" w:hAnsi="Arial" w:cs="Arial"/>
                <w:b/>
                <w:bCs/>
                <w:sz w:val="18"/>
                <w:szCs w:val="18"/>
              </w:rPr>
              <w:t>*</w:t>
            </w:r>
          </w:p>
        </w:tc>
        <w:tc>
          <w:tcPr>
            <w:tcW w:w="1577" w:type="dxa"/>
            <w:tcBorders>
              <w:top w:val="single" w:sz="4" w:space="0" w:color="auto"/>
              <w:left w:val="nil"/>
              <w:bottom w:val="nil"/>
              <w:right w:val="single" w:sz="4" w:space="0" w:color="auto"/>
            </w:tcBorders>
            <w:shd w:val="clear" w:color="auto" w:fill="FFFF00"/>
            <w:noWrap/>
          </w:tcPr>
          <w:p w:rsidR="00341395" w:rsidRPr="00341395" w:rsidRDefault="00341395" w:rsidP="00810C20">
            <w:pPr>
              <w:jc w:val="center"/>
              <w:rPr>
                <w:rFonts w:ascii="Arial" w:hAnsi="Arial" w:cs="Arial"/>
                <w:bCs/>
                <w:sz w:val="20"/>
                <w:szCs w:val="20"/>
              </w:rPr>
            </w:pPr>
            <w:r w:rsidRPr="00341395">
              <w:rPr>
                <w:rFonts w:ascii="Arial" w:hAnsi="Arial" w:cs="Arial"/>
                <w:bCs/>
                <w:sz w:val="20"/>
                <w:szCs w:val="20"/>
              </w:rPr>
              <w:t>34</w:t>
            </w:r>
          </w:p>
        </w:tc>
        <w:tc>
          <w:tcPr>
            <w:tcW w:w="1577" w:type="dxa"/>
            <w:tcBorders>
              <w:top w:val="single" w:sz="4" w:space="0" w:color="auto"/>
              <w:left w:val="nil"/>
              <w:bottom w:val="nil"/>
              <w:right w:val="single" w:sz="4" w:space="0" w:color="auto"/>
            </w:tcBorders>
            <w:shd w:val="clear" w:color="auto" w:fill="FFFF00"/>
            <w:noWrap/>
          </w:tcPr>
          <w:p w:rsidR="00341395" w:rsidRPr="00341395" w:rsidRDefault="00341395" w:rsidP="00810C20">
            <w:pPr>
              <w:jc w:val="center"/>
              <w:rPr>
                <w:rFonts w:ascii="Arial" w:hAnsi="Arial" w:cs="Arial"/>
                <w:bCs/>
                <w:sz w:val="20"/>
                <w:szCs w:val="20"/>
              </w:rPr>
            </w:pPr>
            <w:r>
              <w:rPr>
                <w:rFonts w:ascii="Arial" w:hAnsi="Arial" w:cs="Arial"/>
                <w:bCs/>
                <w:sz w:val="20"/>
                <w:szCs w:val="20"/>
              </w:rPr>
              <w:t>2</w:t>
            </w:r>
            <w:r w:rsidR="004619F8">
              <w:rPr>
                <w:rFonts w:ascii="Arial" w:hAnsi="Arial" w:cs="Arial"/>
                <w:bCs/>
                <w:sz w:val="20"/>
                <w:szCs w:val="20"/>
              </w:rPr>
              <w:t>9</w:t>
            </w:r>
          </w:p>
        </w:tc>
        <w:tc>
          <w:tcPr>
            <w:tcW w:w="1577" w:type="dxa"/>
            <w:tcBorders>
              <w:top w:val="single" w:sz="4" w:space="0" w:color="auto"/>
              <w:left w:val="nil"/>
              <w:bottom w:val="nil"/>
              <w:right w:val="single" w:sz="4" w:space="0" w:color="auto"/>
            </w:tcBorders>
            <w:shd w:val="clear" w:color="auto" w:fill="FFFF00"/>
            <w:noWrap/>
          </w:tcPr>
          <w:p w:rsidR="00341395" w:rsidRPr="00341395" w:rsidRDefault="004619F8" w:rsidP="00810C20">
            <w:pPr>
              <w:jc w:val="center"/>
              <w:rPr>
                <w:rFonts w:ascii="Arial" w:hAnsi="Arial" w:cs="Arial"/>
                <w:bCs/>
                <w:sz w:val="20"/>
                <w:szCs w:val="20"/>
              </w:rPr>
            </w:pPr>
            <w:r>
              <w:rPr>
                <w:rFonts w:ascii="Arial" w:hAnsi="Arial" w:cs="Arial"/>
                <w:bCs/>
                <w:sz w:val="20"/>
                <w:szCs w:val="20"/>
              </w:rPr>
              <w:t>18</w:t>
            </w:r>
          </w:p>
        </w:tc>
        <w:tc>
          <w:tcPr>
            <w:tcW w:w="1577" w:type="dxa"/>
            <w:tcBorders>
              <w:top w:val="single" w:sz="4" w:space="0" w:color="auto"/>
              <w:left w:val="nil"/>
              <w:bottom w:val="nil"/>
              <w:right w:val="single" w:sz="4" w:space="0" w:color="auto"/>
            </w:tcBorders>
            <w:shd w:val="clear" w:color="auto" w:fill="FFFF00"/>
            <w:noWrap/>
          </w:tcPr>
          <w:p w:rsidR="00341395" w:rsidRPr="00341395" w:rsidRDefault="004619F8" w:rsidP="00810C20">
            <w:pPr>
              <w:jc w:val="center"/>
              <w:rPr>
                <w:rFonts w:ascii="Arial" w:hAnsi="Arial" w:cs="Arial"/>
                <w:bCs/>
                <w:sz w:val="20"/>
                <w:szCs w:val="20"/>
              </w:rPr>
            </w:pPr>
            <w:r>
              <w:rPr>
                <w:rFonts w:ascii="Arial" w:hAnsi="Arial" w:cs="Arial"/>
                <w:bCs/>
                <w:sz w:val="20"/>
                <w:szCs w:val="20"/>
              </w:rPr>
              <w:t>9</w:t>
            </w:r>
          </w:p>
        </w:tc>
        <w:tc>
          <w:tcPr>
            <w:tcW w:w="1617" w:type="dxa"/>
            <w:tcBorders>
              <w:top w:val="single" w:sz="4" w:space="0" w:color="auto"/>
              <w:left w:val="nil"/>
              <w:bottom w:val="nil"/>
              <w:right w:val="single" w:sz="4" w:space="0" w:color="auto"/>
            </w:tcBorders>
            <w:shd w:val="clear" w:color="auto" w:fill="FFFF00"/>
            <w:noWrap/>
          </w:tcPr>
          <w:p w:rsidR="00341395" w:rsidRPr="00341395" w:rsidRDefault="004619F8" w:rsidP="00631B69">
            <w:pPr>
              <w:rPr>
                <w:rFonts w:ascii="Arial" w:hAnsi="Arial" w:cs="Arial"/>
                <w:bCs/>
                <w:sz w:val="20"/>
                <w:szCs w:val="20"/>
              </w:rPr>
            </w:pPr>
            <w:r>
              <w:rPr>
                <w:rFonts w:ascii="Arial" w:hAnsi="Arial" w:cs="Arial"/>
                <w:bCs/>
                <w:sz w:val="20"/>
                <w:szCs w:val="20"/>
              </w:rPr>
              <w:t xml:space="preserve">3 </w:t>
            </w:r>
            <w:r w:rsidRPr="004619F8">
              <w:rPr>
                <w:rFonts w:ascii="Arial" w:hAnsi="Arial" w:cs="Arial"/>
                <w:bCs/>
                <w:sz w:val="16"/>
                <w:szCs w:val="16"/>
              </w:rPr>
              <w:t>(1 Outcomes)</w:t>
            </w:r>
            <w:r w:rsidR="004A5C93">
              <w:rPr>
                <w:rFonts w:ascii="Arial" w:hAnsi="Arial" w:cs="Arial"/>
                <w:bCs/>
                <w:sz w:val="16"/>
                <w:szCs w:val="16"/>
              </w:rPr>
              <w:br/>
            </w:r>
            <w:r w:rsidR="004A5C93">
              <w:rPr>
                <w:rFonts w:ascii="Arial" w:hAnsi="Arial" w:cs="Arial"/>
                <w:bCs/>
                <w:sz w:val="20"/>
                <w:szCs w:val="20"/>
              </w:rPr>
              <w:t xml:space="preserve">6 </w:t>
            </w:r>
            <w:r w:rsidR="004A5C93" w:rsidRPr="004619F8">
              <w:rPr>
                <w:rFonts w:ascii="Arial" w:hAnsi="Arial" w:cs="Arial"/>
                <w:bCs/>
                <w:sz w:val="16"/>
                <w:szCs w:val="16"/>
              </w:rPr>
              <w:t>(</w:t>
            </w:r>
            <w:r w:rsidR="00355CC5">
              <w:rPr>
                <w:rFonts w:ascii="Arial" w:hAnsi="Arial" w:cs="Arial"/>
                <w:bCs/>
                <w:sz w:val="16"/>
                <w:szCs w:val="16"/>
              </w:rPr>
              <w:t>0</w:t>
            </w:r>
            <w:r w:rsidR="004A5C93" w:rsidRPr="004619F8">
              <w:rPr>
                <w:rFonts w:ascii="Arial" w:hAnsi="Arial" w:cs="Arial"/>
                <w:bCs/>
                <w:sz w:val="16"/>
                <w:szCs w:val="16"/>
              </w:rPr>
              <w:t xml:space="preserve"> Outcomes)</w:t>
            </w:r>
          </w:p>
        </w:tc>
        <w:tc>
          <w:tcPr>
            <w:tcW w:w="1157" w:type="dxa"/>
            <w:vMerge w:val="restart"/>
            <w:tcBorders>
              <w:top w:val="single" w:sz="4" w:space="0" w:color="000000"/>
              <w:left w:val="single" w:sz="4" w:space="0" w:color="auto"/>
              <w:right w:val="single" w:sz="4" w:space="0" w:color="auto"/>
            </w:tcBorders>
            <w:shd w:val="clear" w:color="auto" w:fill="FFFF00"/>
            <w:vAlign w:val="center"/>
          </w:tcPr>
          <w:p w:rsidR="00341395" w:rsidRPr="00341395" w:rsidRDefault="00341395" w:rsidP="00810C20">
            <w:pPr>
              <w:jc w:val="center"/>
              <w:rPr>
                <w:rFonts w:ascii="Arial" w:hAnsi="Arial" w:cs="Arial"/>
                <w:bCs/>
                <w:sz w:val="20"/>
                <w:szCs w:val="20"/>
              </w:rPr>
            </w:pPr>
            <w:r w:rsidRPr="00341395">
              <w:rPr>
                <w:rFonts w:ascii="Arial" w:hAnsi="Arial" w:cs="Arial"/>
                <w:bCs/>
                <w:sz w:val="20"/>
                <w:szCs w:val="20"/>
              </w:rPr>
              <w:t>99</w:t>
            </w:r>
          </w:p>
        </w:tc>
      </w:tr>
      <w:tr w:rsidR="00341395" w:rsidRPr="00671089" w:rsidTr="008032D9">
        <w:trPr>
          <w:trHeight w:val="360"/>
        </w:trPr>
        <w:tc>
          <w:tcPr>
            <w:tcW w:w="1353"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341395" w:rsidRPr="0058394E" w:rsidRDefault="00341395" w:rsidP="003637C7">
            <w:pPr>
              <w:rPr>
                <w:rFonts w:ascii="Arial" w:hAnsi="Arial" w:cs="Arial"/>
                <w:b/>
                <w:bCs/>
                <w:sz w:val="20"/>
                <w:szCs w:val="20"/>
              </w:rPr>
            </w:pPr>
          </w:p>
        </w:tc>
        <w:tc>
          <w:tcPr>
            <w:tcW w:w="1577" w:type="dxa"/>
            <w:tcBorders>
              <w:top w:val="nil"/>
              <w:left w:val="nil"/>
              <w:bottom w:val="single" w:sz="4" w:space="0" w:color="auto"/>
              <w:right w:val="single" w:sz="4" w:space="0" w:color="auto"/>
            </w:tcBorders>
            <w:shd w:val="clear" w:color="auto" w:fill="FFFF00"/>
            <w:noWrap/>
            <w:vAlign w:val="bottom"/>
          </w:tcPr>
          <w:p w:rsidR="00341395" w:rsidRPr="00341395" w:rsidRDefault="004A5C93" w:rsidP="00810C20">
            <w:pPr>
              <w:jc w:val="center"/>
              <w:rPr>
                <w:rFonts w:ascii="Arial" w:hAnsi="Arial" w:cs="Arial"/>
                <w:bCs/>
                <w:sz w:val="20"/>
                <w:szCs w:val="20"/>
              </w:rPr>
            </w:pPr>
            <w:r>
              <w:rPr>
                <w:rFonts w:ascii="Arial" w:hAnsi="Arial" w:cs="Arial"/>
                <w:bCs/>
                <w:sz w:val="20"/>
                <w:szCs w:val="20"/>
              </w:rPr>
              <w:t>34%</w:t>
            </w:r>
          </w:p>
        </w:tc>
        <w:tc>
          <w:tcPr>
            <w:tcW w:w="1577" w:type="dxa"/>
            <w:tcBorders>
              <w:top w:val="nil"/>
              <w:left w:val="nil"/>
              <w:bottom w:val="single" w:sz="4" w:space="0" w:color="auto"/>
              <w:right w:val="single" w:sz="4" w:space="0" w:color="auto"/>
            </w:tcBorders>
            <w:shd w:val="clear" w:color="auto" w:fill="FFFF00"/>
            <w:noWrap/>
            <w:vAlign w:val="bottom"/>
          </w:tcPr>
          <w:p w:rsidR="00341395" w:rsidRPr="00341395" w:rsidRDefault="004A5C93" w:rsidP="00810C20">
            <w:pPr>
              <w:jc w:val="center"/>
              <w:rPr>
                <w:rFonts w:ascii="Arial" w:hAnsi="Arial" w:cs="Arial"/>
                <w:bCs/>
                <w:sz w:val="20"/>
                <w:szCs w:val="20"/>
              </w:rPr>
            </w:pPr>
            <w:r>
              <w:rPr>
                <w:rFonts w:ascii="Arial" w:hAnsi="Arial" w:cs="Arial"/>
                <w:bCs/>
                <w:sz w:val="20"/>
                <w:szCs w:val="20"/>
              </w:rPr>
              <w:t>29%</w:t>
            </w:r>
          </w:p>
        </w:tc>
        <w:tc>
          <w:tcPr>
            <w:tcW w:w="1577" w:type="dxa"/>
            <w:tcBorders>
              <w:top w:val="nil"/>
              <w:left w:val="nil"/>
              <w:bottom w:val="single" w:sz="4" w:space="0" w:color="auto"/>
              <w:right w:val="single" w:sz="4" w:space="0" w:color="auto"/>
            </w:tcBorders>
            <w:shd w:val="clear" w:color="auto" w:fill="FFFF00"/>
            <w:noWrap/>
            <w:vAlign w:val="bottom"/>
          </w:tcPr>
          <w:p w:rsidR="00341395" w:rsidRPr="00341395" w:rsidRDefault="004A5C93" w:rsidP="00810C20">
            <w:pPr>
              <w:jc w:val="center"/>
              <w:rPr>
                <w:rFonts w:ascii="Arial" w:hAnsi="Arial" w:cs="Arial"/>
                <w:bCs/>
                <w:sz w:val="20"/>
                <w:szCs w:val="20"/>
              </w:rPr>
            </w:pPr>
            <w:r>
              <w:rPr>
                <w:rFonts w:ascii="Arial" w:hAnsi="Arial" w:cs="Arial"/>
                <w:bCs/>
                <w:sz w:val="20"/>
                <w:szCs w:val="20"/>
              </w:rPr>
              <w:t>18%</w:t>
            </w:r>
          </w:p>
        </w:tc>
        <w:tc>
          <w:tcPr>
            <w:tcW w:w="1577" w:type="dxa"/>
            <w:tcBorders>
              <w:top w:val="nil"/>
              <w:left w:val="nil"/>
              <w:bottom w:val="single" w:sz="4" w:space="0" w:color="auto"/>
              <w:right w:val="single" w:sz="4" w:space="0" w:color="auto"/>
            </w:tcBorders>
            <w:shd w:val="clear" w:color="auto" w:fill="FFFF00"/>
            <w:noWrap/>
            <w:vAlign w:val="bottom"/>
          </w:tcPr>
          <w:p w:rsidR="00341395" w:rsidRPr="00341395" w:rsidRDefault="004A5C93" w:rsidP="00810C20">
            <w:pPr>
              <w:jc w:val="center"/>
              <w:rPr>
                <w:rFonts w:ascii="Arial" w:hAnsi="Arial" w:cs="Arial"/>
                <w:bCs/>
                <w:sz w:val="20"/>
                <w:szCs w:val="20"/>
              </w:rPr>
            </w:pPr>
            <w:r>
              <w:rPr>
                <w:rFonts w:ascii="Arial" w:hAnsi="Arial" w:cs="Arial"/>
                <w:bCs/>
                <w:sz w:val="20"/>
                <w:szCs w:val="20"/>
              </w:rPr>
              <w:t>9%</w:t>
            </w:r>
          </w:p>
        </w:tc>
        <w:tc>
          <w:tcPr>
            <w:tcW w:w="1617" w:type="dxa"/>
            <w:tcBorders>
              <w:top w:val="nil"/>
              <w:left w:val="nil"/>
              <w:bottom w:val="single" w:sz="4" w:space="0" w:color="auto"/>
              <w:right w:val="single" w:sz="4" w:space="0" w:color="auto"/>
            </w:tcBorders>
            <w:shd w:val="clear" w:color="auto" w:fill="FFFF00"/>
            <w:noWrap/>
            <w:vAlign w:val="bottom"/>
          </w:tcPr>
          <w:p w:rsidR="00341395" w:rsidRPr="00341395" w:rsidRDefault="004A5C93" w:rsidP="00810C20">
            <w:pPr>
              <w:jc w:val="center"/>
              <w:rPr>
                <w:rFonts w:ascii="Arial" w:hAnsi="Arial" w:cs="Arial"/>
                <w:bCs/>
                <w:sz w:val="20"/>
                <w:szCs w:val="20"/>
              </w:rPr>
            </w:pPr>
            <w:r>
              <w:rPr>
                <w:rFonts w:ascii="Arial" w:hAnsi="Arial" w:cs="Arial"/>
                <w:bCs/>
                <w:sz w:val="20"/>
                <w:szCs w:val="20"/>
              </w:rPr>
              <w:t xml:space="preserve">3% </w:t>
            </w:r>
            <w:r w:rsidRPr="004619F8">
              <w:rPr>
                <w:rFonts w:ascii="Arial" w:hAnsi="Arial" w:cs="Arial"/>
                <w:bCs/>
                <w:sz w:val="16"/>
                <w:szCs w:val="16"/>
              </w:rPr>
              <w:t>(1 Outcomes)</w:t>
            </w:r>
            <w:r>
              <w:rPr>
                <w:rFonts w:ascii="Arial" w:hAnsi="Arial" w:cs="Arial"/>
                <w:bCs/>
                <w:sz w:val="16"/>
                <w:szCs w:val="16"/>
              </w:rPr>
              <w:br/>
            </w:r>
            <w:r>
              <w:rPr>
                <w:rFonts w:ascii="Arial" w:hAnsi="Arial" w:cs="Arial"/>
                <w:bCs/>
                <w:sz w:val="20"/>
                <w:szCs w:val="20"/>
              </w:rPr>
              <w:t xml:space="preserve">6% </w:t>
            </w:r>
            <w:r w:rsidRPr="004619F8">
              <w:rPr>
                <w:rFonts w:ascii="Arial" w:hAnsi="Arial" w:cs="Arial"/>
                <w:bCs/>
                <w:sz w:val="16"/>
                <w:szCs w:val="16"/>
              </w:rPr>
              <w:t>(</w:t>
            </w:r>
            <w:r>
              <w:rPr>
                <w:rFonts w:ascii="Arial" w:hAnsi="Arial" w:cs="Arial"/>
                <w:bCs/>
                <w:sz w:val="16"/>
                <w:szCs w:val="16"/>
              </w:rPr>
              <w:t>0</w:t>
            </w:r>
            <w:r w:rsidRPr="004619F8">
              <w:rPr>
                <w:rFonts w:ascii="Arial" w:hAnsi="Arial" w:cs="Arial"/>
                <w:bCs/>
                <w:sz w:val="16"/>
                <w:szCs w:val="16"/>
              </w:rPr>
              <w:t xml:space="preserve"> Outcomes)</w:t>
            </w:r>
          </w:p>
        </w:tc>
        <w:tc>
          <w:tcPr>
            <w:tcW w:w="1157" w:type="dxa"/>
            <w:vMerge/>
            <w:tcBorders>
              <w:left w:val="single" w:sz="4" w:space="0" w:color="auto"/>
              <w:bottom w:val="single" w:sz="4" w:space="0" w:color="auto"/>
              <w:right w:val="single" w:sz="4" w:space="0" w:color="auto"/>
            </w:tcBorders>
            <w:shd w:val="clear" w:color="auto" w:fill="FFFF00"/>
            <w:vAlign w:val="center"/>
          </w:tcPr>
          <w:p w:rsidR="00341395" w:rsidRPr="00671089" w:rsidRDefault="00341395" w:rsidP="00671089">
            <w:pPr>
              <w:jc w:val="center"/>
              <w:rPr>
                <w:rFonts w:ascii="Arial" w:hAnsi="Arial" w:cs="Arial"/>
                <w:b/>
                <w:bCs/>
                <w:sz w:val="20"/>
                <w:szCs w:val="20"/>
              </w:rPr>
            </w:pPr>
          </w:p>
        </w:tc>
      </w:tr>
    </w:tbl>
    <w:p w:rsidR="004739D1" w:rsidRPr="00607094" w:rsidRDefault="004739D1" w:rsidP="00607094">
      <w:pPr>
        <w:autoSpaceDE w:val="0"/>
        <w:autoSpaceDN w:val="0"/>
        <w:adjustRightInd w:val="0"/>
        <w:spacing w:after="0" w:line="240" w:lineRule="auto"/>
      </w:pPr>
      <w:r w:rsidRPr="004739D1">
        <w:rPr>
          <w:b/>
        </w:rPr>
        <w:t>*</w:t>
      </w:r>
      <w:r>
        <w:rPr>
          <w:b/>
        </w:rPr>
        <w:t xml:space="preserve"> </w:t>
      </w:r>
      <w:r>
        <w:t xml:space="preserve">In 2010, students who did not meet any outcome </w:t>
      </w:r>
      <w:r w:rsidR="006F5EEE">
        <w:t xml:space="preserve">on the problems chosen by the committee </w:t>
      </w:r>
      <w:r>
        <w:t>were granted a score of 0</w:t>
      </w:r>
      <w:r w:rsidR="004A5C93">
        <w:t>. The first 3 year’s lowest ranking could be no lower than a ranking of 1</w:t>
      </w:r>
      <w:r w:rsidR="00637DEC">
        <w:t xml:space="preserve"> so </w:t>
      </w:r>
      <w:r w:rsidR="00CD59D5">
        <w:t xml:space="preserve">the </w:t>
      </w:r>
      <w:r w:rsidR="002B178D">
        <w:br/>
      </w:r>
      <w:r w:rsidR="00637DEC">
        <w:t>2010-2011 results were slightly skewed.</w:t>
      </w:r>
    </w:p>
    <w:p w:rsidR="00547B58" w:rsidRPr="00FB5DFC" w:rsidRDefault="00547B58" w:rsidP="00547B58">
      <w:pPr>
        <w:pStyle w:val="ListParagraph"/>
        <w:spacing w:after="0" w:line="240" w:lineRule="auto"/>
        <w:rPr>
          <w:sz w:val="24"/>
          <w:szCs w:val="24"/>
          <w:u w:val="single"/>
        </w:rPr>
      </w:pPr>
      <w:r>
        <w:rPr>
          <w:b/>
          <w:i/>
          <w:sz w:val="24"/>
          <w:szCs w:val="24"/>
        </w:rPr>
        <w:lastRenderedPageBreak/>
        <w:t>MATHEMATICS</w:t>
      </w:r>
      <w:r w:rsidRPr="00FB5DFC">
        <w:rPr>
          <w:b/>
          <w:i/>
          <w:sz w:val="24"/>
          <w:szCs w:val="24"/>
        </w:rPr>
        <w:t xml:space="preserve"> COMPETENCY ANALYSIS CONTINUED:</w:t>
      </w:r>
    </w:p>
    <w:p w:rsidR="003637C7" w:rsidRPr="00547B58" w:rsidRDefault="003338EA" w:rsidP="00547B58">
      <w:pPr>
        <w:numPr>
          <w:ilvl w:val="0"/>
          <w:numId w:val="4"/>
        </w:numPr>
        <w:spacing w:after="0" w:line="240" w:lineRule="auto"/>
        <w:rPr>
          <w:u w:val="single"/>
        </w:rPr>
      </w:pPr>
      <w:r w:rsidRPr="00547B58">
        <w:rPr>
          <w:u w:val="single"/>
        </w:rPr>
        <w:t xml:space="preserve">Additional </w:t>
      </w:r>
      <w:r w:rsidR="0092696C" w:rsidRPr="00547B58">
        <w:rPr>
          <w:u w:val="single"/>
        </w:rPr>
        <w:t>Artifact Data</w:t>
      </w:r>
      <w:r w:rsidR="002B178D" w:rsidRPr="00547B58">
        <w:rPr>
          <w:u w:val="single"/>
        </w:rPr>
        <w:t>/Information</w:t>
      </w:r>
      <w:r w:rsidR="008B2711" w:rsidRPr="00547B58">
        <w:rPr>
          <w:u w:val="single"/>
        </w:rPr>
        <w:t>:</w:t>
      </w:r>
    </w:p>
    <w:p w:rsidR="009C62DB" w:rsidRDefault="009C62DB" w:rsidP="00547B58">
      <w:pPr>
        <w:numPr>
          <w:ilvl w:val="1"/>
          <w:numId w:val="4"/>
        </w:numPr>
        <w:spacing w:after="0" w:line="240" w:lineRule="auto"/>
      </w:pPr>
      <w:r>
        <w:t>Out of the 11 sets submitted for assessment, the values of the artifacts were distributed as follows:</w:t>
      </w:r>
    </w:p>
    <w:p w:rsidR="009C62DB" w:rsidRDefault="009C62DB" w:rsidP="00547B58">
      <w:pPr>
        <w:numPr>
          <w:ilvl w:val="2"/>
          <w:numId w:val="4"/>
        </w:numPr>
        <w:spacing w:after="0" w:line="240" w:lineRule="auto"/>
      </w:pPr>
      <w:r>
        <w:t>6 artifact sets worth 5 points = 54.5% of the artifact distribution</w:t>
      </w:r>
    </w:p>
    <w:p w:rsidR="009C62DB" w:rsidRDefault="009C62DB" w:rsidP="00547B58">
      <w:pPr>
        <w:numPr>
          <w:ilvl w:val="2"/>
          <w:numId w:val="4"/>
        </w:numPr>
        <w:spacing w:after="0" w:line="240" w:lineRule="auto"/>
      </w:pPr>
      <w:r>
        <w:t>3 artifact sets worth 4 points = 27.3% of the artifact distribution</w:t>
      </w:r>
    </w:p>
    <w:p w:rsidR="009C62DB" w:rsidRDefault="009C62DB" w:rsidP="00547B58">
      <w:pPr>
        <w:numPr>
          <w:ilvl w:val="2"/>
          <w:numId w:val="4"/>
        </w:numPr>
        <w:spacing w:after="0" w:line="240" w:lineRule="auto"/>
      </w:pPr>
      <w:r>
        <w:t>2 artifact sets worth 3 points = 18.2% of the artifact distribution</w:t>
      </w:r>
    </w:p>
    <w:p w:rsidR="009C62DB" w:rsidRDefault="009C62DB" w:rsidP="00547B58">
      <w:pPr>
        <w:pStyle w:val="ListParagraph"/>
        <w:numPr>
          <w:ilvl w:val="1"/>
          <w:numId w:val="4"/>
        </w:numPr>
      </w:pPr>
      <w:r>
        <w:t>Out of the 99 individual items that were assessed, the values of the individual items were distributed as follows:</w:t>
      </w:r>
    </w:p>
    <w:p w:rsidR="009C62DB" w:rsidRDefault="009C62DB" w:rsidP="00547B58">
      <w:pPr>
        <w:pStyle w:val="ListParagraph"/>
        <w:numPr>
          <w:ilvl w:val="2"/>
          <w:numId w:val="4"/>
        </w:numPr>
      </w:pPr>
      <w:r>
        <w:t>42 items worth 5 points = 42.4% of the items distribution</w:t>
      </w:r>
    </w:p>
    <w:p w:rsidR="009C62DB" w:rsidRDefault="009C62DB" w:rsidP="00547B58">
      <w:pPr>
        <w:pStyle w:val="ListParagraph"/>
        <w:numPr>
          <w:ilvl w:val="2"/>
          <w:numId w:val="4"/>
        </w:numPr>
      </w:pPr>
      <w:r>
        <w:t>31 items worth 4 points = 31.3% of the items distribution</w:t>
      </w:r>
    </w:p>
    <w:p w:rsidR="009C62DB" w:rsidRDefault="009C62DB" w:rsidP="00547B58">
      <w:pPr>
        <w:pStyle w:val="ListParagraph"/>
        <w:numPr>
          <w:ilvl w:val="2"/>
          <w:numId w:val="4"/>
        </w:numPr>
      </w:pPr>
      <w:r>
        <w:t>26 items worth 3 points = 26.3% of the items distribution</w:t>
      </w:r>
    </w:p>
    <w:p w:rsidR="009C62DB" w:rsidRDefault="009C62DB" w:rsidP="00547B58">
      <w:pPr>
        <w:pStyle w:val="ListParagraph"/>
        <w:numPr>
          <w:ilvl w:val="1"/>
          <w:numId w:val="4"/>
        </w:numPr>
      </w:pPr>
      <w:r>
        <w:t>How did Amarillo College students perform in this assessment?  The assessment scores show that:</w:t>
      </w:r>
    </w:p>
    <w:p w:rsidR="009C62DB" w:rsidRDefault="009C62DB" w:rsidP="00547B58">
      <w:pPr>
        <w:pStyle w:val="ListParagraph"/>
        <w:numPr>
          <w:ilvl w:val="2"/>
          <w:numId w:val="4"/>
        </w:numPr>
      </w:pPr>
      <w:r>
        <w:t>34 out of 42 items worth 5 points earned 5 points = 81% success rate</w:t>
      </w:r>
    </w:p>
    <w:p w:rsidR="009C62DB" w:rsidRDefault="009C62DB" w:rsidP="00547B58">
      <w:pPr>
        <w:pStyle w:val="ListParagraph"/>
        <w:numPr>
          <w:ilvl w:val="2"/>
          <w:numId w:val="4"/>
        </w:numPr>
      </w:pPr>
      <w:r>
        <w:t>24 out of 31 items worth 4 points earned 4 points = 77% success rate</w:t>
      </w:r>
    </w:p>
    <w:p w:rsidR="009C62DB" w:rsidRDefault="009C62DB" w:rsidP="00547B58">
      <w:pPr>
        <w:pStyle w:val="ListParagraph"/>
        <w:numPr>
          <w:ilvl w:val="2"/>
          <w:numId w:val="4"/>
        </w:numPr>
      </w:pPr>
      <w:r>
        <w:t xml:space="preserve">15 out of 26 items worth 3 points earned </w:t>
      </w:r>
      <w:r w:rsidR="00C3110D">
        <w:t>3</w:t>
      </w:r>
      <w:r>
        <w:t xml:space="preserve"> points = 58% success rate</w:t>
      </w:r>
    </w:p>
    <w:p w:rsidR="008B2711" w:rsidRPr="001D5B78" w:rsidRDefault="009C62DB" w:rsidP="00547B58">
      <w:pPr>
        <w:pStyle w:val="ListParagraph"/>
        <w:numPr>
          <w:ilvl w:val="2"/>
          <w:numId w:val="4"/>
        </w:numPr>
        <w:rPr>
          <w:b/>
        </w:rPr>
      </w:pPr>
      <w:r w:rsidRPr="001D5B78">
        <w:rPr>
          <w:b/>
        </w:rPr>
        <w:t>Average success rate of 72%</w:t>
      </w:r>
    </w:p>
    <w:p w:rsidR="00547B58" w:rsidRDefault="009C62DB" w:rsidP="00547B58">
      <w:pPr>
        <w:pStyle w:val="ListParagraph"/>
        <w:numPr>
          <w:ilvl w:val="0"/>
          <w:numId w:val="4"/>
        </w:numPr>
      </w:pPr>
      <w:r w:rsidRPr="00547B58">
        <w:rPr>
          <w:u w:val="single"/>
        </w:rPr>
        <w:t>Overall Syn</w:t>
      </w:r>
      <w:r w:rsidR="0030375D" w:rsidRPr="00547B58">
        <w:rPr>
          <w:u w:val="single"/>
        </w:rPr>
        <w:t>opsis:</w:t>
      </w:r>
      <w:r w:rsidR="0030375D">
        <w:t xml:space="preserve"> </w:t>
      </w:r>
    </w:p>
    <w:p w:rsidR="009C62DB" w:rsidRDefault="0030375D" w:rsidP="00547B58">
      <w:pPr>
        <w:pStyle w:val="ListParagraph"/>
      </w:pPr>
      <w:r>
        <w:t>These assessment scores</w:t>
      </w:r>
      <w:r w:rsidR="009C62DB">
        <w:t xml:space="preserve"> demonstrate that </w:t>
      </w:r>
      <w:r>
        <w:t xml:space="preserve">the majority of </w:t>
      </w:r>
      <w:r w:rsidR="009C62DB">
        <w:t>Amarillo College students are successfully performing the mathematical tasks given to them by their instructors.  The scores also clearly exceed the minimum standard originally established by the Math Assessment Subcommittee that 60% of the students assessed should be able to perform successfully on a 3 point problem.</w:t>
      </w:r>
    </w:p>
    <w:p w:rsidR="00547B58" w:rsidRDefault="009C62DB" w:rsidP="00547B58">
      <w:pPr>
        <w:pStyle w:val="ListParagraph"/>
        <w:numPr>
          <w:ilvl w:val="0"/>
          <w:numId w:val="4"/>
        </w:numPr>
      </w:pPr>
      <w:r w:rsidRPr="00547B58">
        <w:rPr>
          <w:u w:val="single"/>
        </w:rPr>
        <w:t>Comparison to Previous Year</w:t>
      </w:r>
      <w:r w:rsidR="003338EA" w:rsidRPr="00547B58">
        <w:rPr>
          <w:u w:val="single"/>
        </w:rPr>
        <w:t>s</w:t>
      </w:r>
      <w:r w:rsidRPr="00547B58">
        <w:rPr>
          <w:u w:val="single"/>
        </w:rPr>
        <w:t>:</w:t>
      </w:r>
      <w:r>
        <w:t xml:space="preserve"> </w:t>
      </w:r>
    </w:p>
    <w:p w:rsidR="008B2711" w:rsidRDefault="003338EA" w:rsidP="00547B58">
      <w:pPr>
        <w:pStyle w:val="ListParagraph"/>
      </w:pPr>
      <w:r>
        <w:t>In the past, there has been</w:t>
      </w:r>
      <w:r w:rsidR="009C62DB">
        <w:t xml:space="preserve"> a concern that there were not enough 5 point problems that were submitted for assessment (only 7.4% of submitted items were 5 point questions) or not enough of these type questions were being asked of the students.  This year 42.4% of the submitted items were worth 5 points which </w:t>
      </w:r>
      <w:r w:rsidR="00355CC5">
        <w:t>suggests that the</w:t>
      </w:r>
      <w:r w:rsidR="009C62DB">
        <w:t xml:space="preserve"> instructors </w:t>
      </w:r>
      <w:r w:rsidR="00355CC5">
        <w:t>are</w:t>
      </w:r>
      <w:r w:rsidR="009C62DB">
        <w:t xml:space="preserve"> asking mor</w:t>
      </w:r>
      <w:r w:rsidR="00355CC5">
        <w:t>e questions that involve higher-</w:t>
      </w:r>
      <w:r w:rsidR="009C62DB">
        <w:t>level thinking, analyzing, estimating, drawing qualitative conclusions, and making predictions</w:t>
      </w:r>
      <w:r w:rsidR="009C62DB" w:rsidRPr="00AA0EA9">
        <w:rPr>
          <w:i/>
        </w:rPr>
        <w:t xml:space="preserve">.  </w:t>
      </w:r>
      <w:r w:rsidR="009C62DB" w:rsidRPr="00387AF1">
        <w:t>Th</w:t>
      </w:r>
      <w:r w:rsidR="00355CC5">
        <w:t>e</w:t>
      </w:r>
      <w:r w:rsidR="009C62DB" w:rsidRPr="00387AF1">
        <w:t xml:space="preserve"> increase </w:t>
      </w:r>
      <w:r w:rsidR="00355CC5">
        <w:t xml:space="preserve">in question quality </w:t>
      </w:r>
      <w:r w:rsidR="009C62DB" w:rsidRPr="00387AF1">
        <w:t xml:space="preserve">is a </w:t>
      </w:r>
      <w:r w:rsidR="00355CC5">
        <w:t xml:space="preserve">seemingly </w:t>
      </w:r>
      <w:r w:rsidR="009C62DB" w:rsidRPr="00387AF1">
        <w:t>positive result</w:t>
      </w:r>
      <w:r w:rsidR="009C62DB">
        <w:t xml:space="preserve">.  </w:t>
      </w:r>
    </w:p>
    <w:p w:rsidR="003D6C70" w:rsidRPr="00547B58" w:rsidRDefault="00547B58" w:rsidP="00547B58">
      <w:pPr>
        <w:pStyle w:val="ListParagraph"/>
        <w:numPr>
          <w:ilvl w:val="0"/>
          <w:numId w:val="4"/>
        </w:numPr>
        <w:spacing w:after="0"/>
        <w:rPr>
          <w:u w:val="single"/>
        </w:rPr>
      </w:pPr>
      <w:r>
        <w:rPr>
          <w:u w:val="single"/>
        </w:rPr>
        <w:t xml:space="preserve">Strengths and Room for Improvement </w:t>
      </w:r>
      <w:r w:rsidR="003D6C70" w:rsidRPr="00547B58">
        <w:rPr>
          <w:u w:val="single"/>
        </w:rPr>
        <w:t>:</w:t>
      </w:r>
    </w:p>
    <w:p w:rsidR="00547B58" w:rsidRPr="00547B58" w:rsidRDefault="00547B58" w:rsidP="00547B58">
      <w:pPr>
        <w:numPr>
          <w:ilvl w:val="1"/>
          <w:numId w:val="4"/>
        </w:numPr>
        <w:spacing w:after="0" w:line="240" w:lineRule="auto"/>
      </w:pPr>
      <w:r w:rsidRPr="00547B58">
        <w:rPr>
          <w:b/>
        </w:rPr>
        <w:t>Strength</w:t>
      </w:r>
      <w:r>
        <w:t>: Students answered more higher-order questions than previous years.</w:t>
      </w:r>
    </w:p>
    <w:p w:rsidR="00547B58" w:rsidRDefault="000B442E" w:rsidP="00547B58">
      <w:pPr>
        <w:numPr>
          <w:ilvl w:val="1"/>
          <w:numId w:val="4"/>
        </w:numPr>
        <w:spacing w:after="0" w:line="240" w:lineRule="auto"/>
      </w:pPr>
      <w:r>
        <w:rPr>
          <w:b/>
        </w:rPr>
        <w:t xml:space="preserve">Still Need More </w:t>
      </w:r>
      <w:r w:rsidR="00547B58">
        <w:rPr>
          <w:b/>
        </w:rPr>
        <w:t xml:space="preserve">Higher-Order Questions: </w:t>
      </w:r>
      <w:r w:rsidR="003D6C70">
        <w:t xml:space="preserve">Although it appears that higher-order thinking questions that use mathematics applications are being asked, it is also possible that the Mathematics committee simply received overall better artifacts this year than they had received in previous years.  When artifacts that are judged to be below a ranking of 3 in difficulty are not assessed by the committee, it would also reason that they quality of artifacts that are ultimately judged would be of a higher quality. Based on the artifacts that the committee received, it is obvious that more instructors are submitting artifacts that meet all 5 designated outcomes, but increased measures could be used to check for improvement across the board. </w:t>
      </w:r>
    </w:p>
    <w:p w:rsidR="003D6C70" w:rsidRPr="00355CC5" w:rsidRDefault="00547B58" w:rsidP="00547B58">
      <w:pPr>
        <w:numPr>
          <w:ilvl w:val="2"/>
          <w:numId w:val="4"/>
        </w:numPr>
        <w:spacing w:after="0" w:line="240" w:lineRule="auto"/>
      </w:pPr>
      <w:r w:rsidRPr="00547B58">
        <w:t>Assessment and Development Plan of Action:</w:t>
      </w:r>
      <w:r>
        <w:br/>
      </w:r>
      <w:r w:rsidR="003D6C70">
        <w:t xml:space="preserve">Next year’s change from the math competency to the Empirical and Quantitative Skills competency should help address </w:t>
      </w:r>
      <w:r>
        <w:t xml:space="preserve">some </w:t>
      </w:r>
      <w:r w:rsidR="003D6C70">
        <w:t>improvement reliability issue.</w:t>
      </w:r>
      <w:r>
        <w:t xml:space="preserve"> </w:t>
      </w:r>
    </w:p>
    <w:p w:rsidR="00547B58" w:rsidRDefault="00547B58" w:rsidP="00547B58">
      <w:pPr>
        <w:spacing w:after="0" w:line="240" w:lineRule="auto"/>
        <w:ind w:left="1440"/>
      </w:pPr>
    </w:p>
    <w:p w:rsidR="00547B58" w:rsidRPr="00547B58" w:rsidRDefault="00547B58" w:rsidP="00547B58">
      <w:pPr>
        <w:pStyle w:val="ListParagraph"/>
        <w:spacing w:after="0" w:line="240" w:lineRule="auto"/>
        <w:rPr>
          <w:sz w:val="24"/>
          <w:szCs w:val="24"/>
          <w:u w:val="single"/>
        </w:rPr>
      </w:pPr>
      <w:r>
        <w:rPr>
          <w:b/>
          <w:i/>
          <w:sz w:val="24"/>
          <w:szCs w:val="24"/>
        </w:rPr>
        <w:t>MATHEMATICS</w:t>
      </w:r>
      <w:r w:rsidRPr="00FB5DFC">
        <w:rPr>
          <w:b/>
          <w:i/>
          <w:sz w:val="24"/>
          <w:szCs w:val="24"/>
        </w:rPr>
        <w:t xml:space="preserve"> COMPETENCY ANALYSIS CONTINUED:</w:t>
      </w:r>
    </w:p>
    <w:p w:rsidR="003D6C70" w:rsidRPr="00355CC5" w:rsidRDefault="001D5B78" w:rsidP="00547B58">
      <w:pPr>
        <w:numPr>
          <w:ilvl w:val="1"/>
          <w:numId w:val="4"/>
        </w:numPr>
        <w:spacing w:after="0" w:line="240" w:lineRule="auto"/>
      </w:pPr>
      <w:r>
        <w:rPr>
          <w:b/>
        </w:rPr>
        <w:t>Increased Critical Thinking and Real-Life Application Needed</w:t>
      </w:r>
      <w:r w:rsidR="003D6C70">
        <w:t>:</w:t>
      </w:r>
      <w:r w:rsidR="003D6C70" w:rsidRPr="00355CC5">
        <w:t xml:space="preserve"> </w:t>
      </w:r>
      <w:r w:rsidR="003D6C70">
        <w:t>Critical thinking skills and real-life app</w:t>
      </w:r>
      <w:r>
        <w:t>lication examples could be</w:t>
      </w:r>
      <w:r w:rsidR="003D6C70">
        <w:t xml:space="preserve"> incorporated into lower-level mathematics problems. For example, if a question was asked that dealt with the conversion of medicine, a good follow-up question to that conversion problem might be “If you had this amount of medicine, would you have enough medicine for Patient A?” or  “How many days would this amount of medicine be able to treat Patient A?”</w:t>
      </w:r>
    </w:p>
    <w:p w:rsidR="003637C7" w:rsidRDefault="003637C7" w:rsidP="00B101CA">
      <w:pPr>
        <w:autoSpaceDE w:val="0"/>
        <w:autoSpaceDN w:val="0"/>
        <w:adjustRightInd w:val="0"/>
        <w:spacing w:after="0" w:line="240" w:lineRule="auto"/>
        <w:rPr>
          <w:b/>
          <w:u w:val="single"/>
        </w:rPr>
      </w:pPr>
    </w:p>
    <w:p w:rsidR="00035354" w:rsidRPr="00220186" w:rsidRDefault="00B101CA" w:rsidP="00B101CA">
      <w:pPr>
        <w:autoSpaceDE w:val="0"/>
        <w:autoSpaceDN w:val="0"/>
        <w:adjustRightInd w:val="0"/>
        <w:spacing w:after="0" w:line="240" w:lineRule="auto"/>
        <w:rPr>
          <w:b/>
          <w:sz w:val="24"/>
          <w:szCs w:val="24"/>
          <w:u w:val="single"/>
        </w:rPr>
      </w:pPr>
      <w:bookmarkStart w:id="8" w:name="Future"/>
      <w:r w:rsidRPr="00220186">
        <w:rPr>
          <w:b/>
          <w:sz w:val="24"/>
          <w:szCs w:val="24"/>
          <w:u w:val="single"/>
        </w:rPr>
        <w:t xml:space="preserve">Future </w:t>
      </w:r>
      <w:r w:rsidR="002B178D">
        <w:rPr>
          <w:b/>
          <w:sz w:val="24"/>
          <w:szCs w:val="24"/>
          <w:u w:val="single"/>
        </w:rPr>
        <w:t xml:space="preserve">Assessment </w:t>
      </w:r>
      <w:r w:rsidRPr="00220186">
        <w:rPr>
          <w:b/>
          <w:sz w:val="24"/>
          <w:szCs w:val="24"/>
          <w:u w:val="single"/>
        </w:rPr>
        <w:t>Plans:</w:t>
      </w:r>
      <w:bookmarkEnd w:id="8"/>
      <w:r w:rsidR="008032D9">
        <w:rPr>
          <w:b/>
          <w:sz w:val="24"/>
          <w:szCs w:val="24"/>
          <w:u w:val="single"/>
        </w:rPr>
        <w:br/>
      </w:r>
      <w:hyperlink w:anchor="Topics_Covered" w:history="1">
        <w:r w:rsidR="008032D9" w:rsidRPr="0028588B">
          <w:rPr>
            <w:rStyle w:val="Hyperlink"/>
            <w:b/>
            <w:sz w:val="16"/>
            <w:szCs w:val="16"/>
          </w:rPr>
          <w:t>(Return to “Topics Covered”)</w:t>
        </w:r>
      </w:hyperlink>
    </w:p>
    <w:p w:rsidR="004C6C4A" w:rsidRDefault="004C6C4A" w:rsidP="00B101CA">
      <w:r>
        <w:t xml:space="preserve">For the 2011-2012 academic year, the </w:t>
      </w:r>
      <w:r w:rsidR="00B101CA">
        <w:t>Math competency</w:t>
      </w:r>
      <w:r>
        <w:t xml:space="preserve"> will evolve into</w:t>
      </w:r>
      <w:r w:rsidR="0050416B">
        <w:t xml:space="preserve"> the</w:t>
      </w:r>
      <w:r>
        <w:t xml:space="preserve"> </w:t>
      </w:r>
      <w:r w:rsidR="00B101CA">
        <w:t xml:space="preserve">Empirical and Quantitative Skills </w:t>
      </w:r>
      <w:r>
        <w:t xml:space="preserve">competency. New rubrics have been developed for the Empirical and Quantitative Skills Competency, the Communication Skills Competency, the Critical Thinking Skills Competency, and the Teamwork Competency. The above 4 competencies will debut </w:t>
      </w:r>
      <w:r w:rsidR="001D5B78">
        <w:t xml:space="preserve">in fall 2011 </w:t>
      </w:r>
      <w:r>
        <w:t xml:space="preserve">and be assessed in the </w:t>
      </w:r>
      <w:r w:rsidR="001D5B78">
        <w:t>fall 2012-2013</w:t>
      </w:r>
      <w:r>
        <w:t xml:space="preserve"> year.</w:t>
      </w:r>
    </w:p>
    <w:p w:rsidR="001D5B78" w:rsidRDefault="001D5B78" w:rsidP="00B101CA">
      <w:r>
        <w:t>New</w:t>
      </w:r>
      <w:r w:rsidR="004C6C4A">
        <w:t xml:space="preserve"> rubrics will likewise </w:t>
      </w:r>
      <w:r w:rsidR="0050416B">
        <w:t>be</w:t>
      </w:r>
      <w:r w:rsidR="004C6C4A">
        <w:t xml:space="preserve"> developed for </w:t>
      </w:r>
      <w:r w:rsidR="0050416B">
        <w:t xml:space="preserve">the </w:t>
      </w:r>
      <w:r w:rsidR="004C6C4A">
        <w:t>Social Responsibility and Personal Responsibility</w:t>
      </w:r>
      <w:r w:rsidR="0050416B">
        <w:t xml:space="preserve"> competencies.</w:t>
      </w:r>
      <w:r>
        <w:t xml:space="preserve"> Artifacts will be collected for Social and Personal Responsibility during the fall 2011 and spring 2012 (if needed) semesters.</w:t>
      </w:r>
      <w:r w:rsidR="0050416B">
        <w:t xml:space="preserve">  </w:t>
      </w:r>
      <w:r>
        <w:t xml:space="preserve">Social Responsibility and Personal Responsibility will likewise be assessed in the fall 2012-2013 year. </w:t>
      </w:r>
    </w:p>
    <w:p w:rsidR="001D5B78" w:rsidRPr="001D5B78" w:rsidRDefault="001D5B78" w:rsidP="00B101CA">
      <w:pPr>
        <w:rPr>
          <w:u w:val="single"/>
        </w:rPr>
      </w:pPr>
      <w:r>
        <w:rPr>
          <w:u w:val="single"/>
        </w:rPr>
        <w:t>Competencies to Be Assessed for 2012-2013 Year:</w:t>
      </w:r>
    </w:p>
    <w:p w:rsidR="001D5B78" w:rsidRDefault="0050416B" w:rsidP="001D5B78">
      <w:pPr>
        <w:pStyle w:val="ListParagraph"/>
        <w:numPr>
          <w:ilvl w:val="0"/>
          <w:numId w:val="14"/>
        </w:numPr>
      </w:pPr>
      <w:r>
        <w:t>Communication Skills</w:t>
      </w:r>
    </w:p>
    <w:p w:rsidR="001D5B78" w:rsidRDefault="0050416B" w:rsidP="001D5B78">
      <w:pPr>
        <w:pStyle w:val="ListParagraph"/>
        <w:numPr>
          <w:ilvl w:val="0"/>
          <w:numId w:val="14"/>
        </w:numPr>
      </w:pPr>
      <w:r>
        <w:t>Critical Thinking Skills</w:t>
      </w:r>
    </w:p>
    <w:p w:rsidR="001D5B78" w:rsidRDefault="0050416B" w:rsidP="001D5B78">
      <w:pPr>
        <w:pStyle w:val="ListParagraph"/>
        <w:numPr>
          <w:ilvl w:val="0"/>
          <w:numId w:val="14"/>
        </w:numPr>
      </w:pPr>
      <w:r>
        <w:t>Empirical and Quantitative Skills</w:t>
      </w:r>
    </w:p>
    <w:p w:rsidR="001D5B78" w:rsidRDefault="0050416B" w:rsidP="001D5B78">
      <w:pPr>
        <w:pStyle w:val="ListParagraph"/>
        <w:numPr>
          <w:ilvl w:val="0"/>
          <w:numId w:val="14"/>
        </w:numPr>
      </w:pPr>
      <w:r>
        <w:t>Teamwork</w:t>
      </w:r>
    </w:p>
    <w:p w:rsidR="001D5B78" w:rsidRDefault="0050416B" w:rsidP="001D5B78">
      <w:pPr>
        <w:pStyle w:val="ListParagraph"/>
        <w:numPr>
          <w:ilvl w:val="0"/>
          <w:numId w:val="14"/>
        </w:numPr>
      </w:pPr>
      <w:r>
        <w:t>Personal Responsibility</w:t>
      </w:r>
    </w:p>
    <w:p w:rsidR="004C6C4A" w:rsidRDefault="0050416B" w:rsidP="001D5B78">
      <w:pPr>
        <w:pStyle w:val="ListParagraph"/>
        <w:numPr>
          <w:ilvl w:val="0"/>
          <w:numId w:val="14"/>
        </w:numPr>
      </w:pPr>
      <w:r>
        <w:t>Social Responsibility</w:t>
      </w:r>
    </w:p>
    <w:p w:rsidR="00B101CA" w:rsidRDefault="00B101CA" w:rsidP="00B101CA">
      <w:pPr>
        <w:autoSpaceDE w:val="0"/>
        <w:autoSpaceDN w:val="0"/>
        <w:adjustRightInd w:val="0"/>
        <w:spacing w:after="0" w:line="240" w:lineRule="auto"/>
      </w:pPr>
    </w:p>
    <w:sectPr w:rsidR="00B101CA" w:rsidSect="002B0974">
      <w:footerReference w:type="default" r:id="rId11"/>
      <w:pgSz w:w="12240" w:h="15840"/>
      <w:pgMar w:top="1440" w:right="1296"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B58" w:rsidRDefault="00547B58" w:rsidP="00547B58">
      <w:pPr>
        <w:spacing w:after="0" w:line="240" w:lineRule="auto"/>
      </w:pPr>
      <w:r>
        <w:separator/>
      </w:r>
    </w:p>
  </w:endnote>
  <w:endnote w:type="continuationSeparator" w:id="0">
    <w:p w:rsidR="00547B58" w:rsidRDefault="00547B58" w:rsidP="0054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04276"/>
      <w:docPartObj>
        <w:docPartGallery w:val="Page Numbers (Bottom of Page)"/>
        <w:docPartUnique/>
      </w:docPartObj>
    </w:sdtPr>
    <w:sdtEndPr>
      <w:rPr>
        <w:color w:val="808080" w:themeColor="background1" w:themeShade="80"/>
        <w:spacing w:val="60"/>
      </w:rPr>
    </w:sdtEndPr>
    <w:sdtContent>
      <w:p w:rsidR="00864B6D" w:rsidRDefault="00864B6D">
        <w:pPr>
          <w:pStyle w:val="Footer"/>
          <w:pBdr>
            <w:top w:val="single" w:sz="4" w:space="1" w:color="D9D9D9" w:themeColor="background1" w:themeShade="D9"/>
          </w:pBdr>
          <w:jc w:val="right"/>
        </w:pPr>
        <w:r>
          <w:rPr>
            <w:noProof/>
            <w:sz w:val="28"/>
            <w:szCs w:val="28"/>
          </w:rPr>
          <w:drawing>
            <wp:anchor distT="0" distB="0" distL="114300" distR="114300" simplePos="0" relativeHeight="251659264" behindDoc="0" locked="0" layoutInCell="1" allowOverlap="1" wp14:anchorId="7B8C33BF" wp14:editId="4CAA161B">
              <wp:simplePos x="0" y="0"/>
              <wp:positionH relativeFrom="column">
                <wp:posOffset>6242050</wp:posOffset>
              </wp:positionH>
              <wp:positionV relativeFrom="paragraph">
                <wp:posOffset>-12360</wp:posOffset>
              </wp:positionV>
              <wp:extent cx="575189" cy="382772"/>
              <wp:effectExtent l="0" t="0" r="0" b="0"/>
              <wp:wrapNone/>
              <wp:docPr id="2" name="Picture 2" descr="bl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189" cy="382772"/>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6743E1">
          <w:rPr>
            <w:noProof/>
          </w:rPr>
          <w:t>3</w:t>
        </w:r>
        <w:r>
          <w:rPr>
            <w:noProof/>
          </w:rPr>
          <w:fldChar w:fldCharType="end"/>
        </w:r>
        <w:r>
          <w:t xml:space="preserve"> | </w:t>
        </w:r>
        <w:r w:rsidRPr="00864B6D">
          <w:rPr>
            <w:color w:val="808080" w:themeColor="background1" w:themeShade="80"/>
            <w:spacing w:val="60"/>
          </w:rPr>
          <w:t>Page</w:t>
        </w:r>
      </w:p>
    </w:sdtContent>
  </w:sdt>
  <w:p w:rsidR="00A70986" w:rsidRDefault="00A70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B58" w:rsidRDefault="00547B58" w:rsidP="00547B58">
      <w:pPr>
        <w:spacing w:after="0" w:line="240" w:lineRule="auto"/>
      </w:pPr>
      <w:r>
        <w:separator/>
      </w:r>
    </w:p>
  </w:footnote>
  <w:footnote w:type="continuationSeparator" w:id="0">
    <w:p w:rsidR="00547B58" w:rsidRDefault="00547B58" w:rsidP="00547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6219"/>
    <w:multiLevelType w:val="hybridMultilevel"/>
    <w:tmpl w:val="469C3946"/>
    <w:lvl w:ilvl="0" w:tplc="8C88AC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06284"/>
    <w:multiLevelType w:val="hybridMultilevel"/>
    <w:tmpl w:val="7D9C6D0E"/>
    <w:lvl w:ilvl="0" w:tplc="0B2038AE">
      <w:start w:val="1"/>
      <w:numFmt w:val="bullet"/>
      <w:lvlText w:val=""/>
      <w:lvlJc w:val="left"/>
      <w:pPr>
        <w:ind w:left="1080" w:hanging="360"/>
      </w:pPr>
      <w:rPr>
        <w:rFonts w:ascii="Wingdings 2" w:hAnsi="Wingdings 2" w:hint="default"/>
        <w:sz w:val="24"/>
      </w:rPr>
    </w:lvl>
    <w:lvl w:ilvl="1" w:tplc="7B0CFD28">
      <w:start w:val="1"/>
      <w:numFmt w:val="bullet"/>
      <w:lvlText w:val="o"/>
      <w:lvlJc w:val="left"/>
      <w:pPr>
        <w:ind w:left="1800" w:hanging="360"/>
      </w:pPr>
      <w:rPr>
        <w:rFonts w:ascii="Courier New" w:hAnsi="Courier New" w:cs="Courier New" w:hint="default"/>
        <w:b/>
        <w:sz w:val="3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530D63"/>
    <w:multiLevelType w:val="hybridMultilevel"/>
    <w:tmpl w:val="B5E6EB62"/>
    <w:lvl w:ilvl="0" w:tplc="0BB0DD5A">
      <w:start w:val="1"/>
      <w:numFmt w:val="bullet"/>
      <w:lvlText w:val=""/>
      <w:lvlJc w:val="left"/>
      <w:pPr>
        <w:tabs>
          <w:tab w:val="num" w:pos="720"/>
        </w:tabs>
        <w:ind w:left="720" w:hanging="360"/>
      </w:pPr>
      <w:rPr>
        <w:rFonts w:ascii="Wingdings 2" w:hAnsi="Wingdings 2" w:hint="default"/>
      </w:rPr>
    </w:lvl>
    <w:lvl w:ilvl="1" w:tplc="63FC4D32">
      <w:start w:val="222"/>
      <w:numFmt w:val="bullet"/>
      <w:lvlText w:val=""/>
      <w:lvlJc w:val="left"/>
      <w:pPr>
        <w:tabs>
          <w:tab w:val="num" w:pos="1440"/>
        </w:tabs>
        <w:ind w:left="1440" w:hanging="360"/>
      </w:pPr>
      <w:rPr>
        <w:rFonts w:ascii="Wingdings" w:hAnsi="Wingdings" w:hint="default"/>
      </w:rPr>
    </w:lvl>
    <w:lvl w:ilvl="2" w:tplc="FC76CC50">
      <w:start w:val="222"/>
      <w:numFmt w:val="bullet"/>
      <w:lvlText w:val=""/>
      <w:lvlJc w:val="left"/>
      <w:pPr>
        <w:tabs>
          <w:tab w:val="num" w:pos="2160"/>
        </w:tabs>
        <w:ind w:left="2160" w:hanging="360"/>
      </w:pPr>
      <w:rPr>
        <w:rFonts w:ascii="Wingdings 2" w:hAnsi="Wingdings 2"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13E45AF8">
      <w:start w:val="1"/>
      <w:numFmt w:val="bullet"/>
      <w:lvlText w:val=""/>
      <w:lvlJc w:val="left"/>
      <w:pPr>
        <w:tabs>
          <w:tab w:val="num" w:pos="4320"/>
        </w:tabs>
        <w:ind w:left="4320" w:hanging="360"/>
      </w:pPr>
      <w:rPr>
        <w:rFonts w:ascii="Wingdings 2" w:hAnsi="Wingdings 2" w:hint="default"/>
      </w:rPr>
    </w:lvl>
    <w:lvl w:ilvl="6" w:tplc="3CB6A0E2" w:tentative="1">
      <w:start w:val="1"/>
      <w:numFmt w:val="bullet"/>
      <w:lvlText w:val=""/>
      <w:lvlJc w:val="left"/>
      <w:pPr>
        <w:tabs>
          <w:tab w:val="num" w:pos="5040"/>
        </w:tabs>
        <w:ind w:left="5040" w:hanging="360"/>
      </w:pPr>
      <w:rPr>
        <w:rFonts w:ascii="Wingdings 2" w:hAnsi="Wingdings 2" w:hint="default"/>
      </w:rPr>
    </w:lvl>
    <w:lvl w:ilvl="7" w:tplc="8AA42CB2" w:tentative="1">
      <w:start w:val="1"/>
      <w:numFmt w:val="bullet"/>
      <w:lvlText w:val=""/>
      <w:lvlJc w:val="left"/>
      <w:pPr>
        <w:tabs>
          <w:tab w:val="num" w:pos="5760"/>
        </w:tabs>
        <w:ind w:left="5760" w:hanging="360"/>
      </w:pPr>
      <w:rPr>
        <w:rFonts w:ascii="Wingdings 2" w:hAnsi="Wingdings 2" w:hint="default"/>
      </w:rPr>
    </w:lvl>
    <w:lvl w:ilvl="8" w:tplc="20FA7E0C" w:tentative="1">
      <w:start w:val="1"/>
      <w:numFmt w:val="bullet"/>
      <w:lvlText w:val=""/>
      <w:lvlJc w:val="left"/>
      <w:pPr>
        <w:tabs>
          <w:tab w:val="num" w:pos="6480"/>
        </w:tabs>
        <w:ind w:left="6480" w:hanging="360"/>
      </w:pPr>
      <w:rPr>
        <w:rFonts w:ascii="Wingdings 2" w:hAnsi="Wingdings 2" w:hint="default"/>
      </w:rPr>
    </w:lvl>
  </w:abstractNum>
  <w:abstractNum w:abstractNumId="3">
    <w:nsid w:val="44C50E65"/>
    <w:multiLevelType w:val="hybridMultilevel"/>
    <w:tmpl w:val="FBB0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B7D8C"/>
    <w:multiLevelType w:val="hybridMultilevel"/>
    <w:tmpl w:val="A57E6208"/>
    <w:lvl w:ilvl="0" w:tplc="3EBAD3E2">
      <w:start w:val="1349"/>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D37E9A"/>
    <w:multiLevelType w:val="hybridMultilevel"/>
    <w:tmpl w:val="5024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904221"/>
    <w:multiLevelType w:val="hybridMultilevel"/>
    <w:tmpl w:val="EA6CC85A"/>
    <w:lvl w:ilvl="0" w:tplc="D2F21A60">
      <w:start w:val="1"/>
      <w:numFmt w:val="bullet"/>
      <w:lvlText w:val=""/>
      <w:lvlJc w:val="left"/>
      <w:pPr>
        <w:ind w:left="108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051E8D"/>
    <w:multiLevelType w:val="hybridMultilevel"/>
    <w:tmpl w:val="A094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5804F0"/>
    <w:multiLevelType w:val="hybridMultilevel"/>
    <w:tmpl w:val="3EA6B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7736D7"/>
    <w:multiLevelType w:val="hybridMultilevel"/>
    <w:tmpl w:val="53DA387E"/>
    <w:lvl w:ilvl="0" w:tplc="022A6CC0">
      <w:start w:val="1"/>
      <w:numFmt w:val="bullet"/>
      <w:lvlText w:val=""/>
      <w:lvlJc w:val="left"/>
      <w:pPr>
        <w:tabs>
          <w:tab w:val="num" w:pos="720"/>
        </w:tabs>
        <w:ind w:left="720" w:hanging="360"/>
      </w:pPr>
      <w:rPr>
        <w:rFonts w:ascii="Wingdings 2" w:hAnsi="Wingdings 2" w:hint="default"/>
      </w:rPr>
    </w:lvl>
    <w:lvl w:ilvl="1" w:tplc="7700B060">
      <w:start w:val="1054"/>
      <w:numFmt w:val="bullet"/>
      <w:lvlText w:val=""/>
      <w:lvlJc w:val="left"/>
      <w:pPr>
        <w:tabs>
          <w:tab w:val="num" w:pos="1440"/>
        </w:tabs>
        <w:ind w:left="1440" w:hanging="360"/>
      </w:pPr>
      <w:rPr>
        <w:rFonts w:ascii="Wingdings" w:hAnsi="Wingdings" w:hint="default"/>
      </w:rPr>
    </w:lvl>
    <w:lvl w:ilvl="2" w:tplc="FD204404">
      <w:start w:val="1054"/>
      <w:numFmt w:val="bullet"/>
      <w:lvlText w:val=""/>
      <w:lvlJc w:val="left"/>
      <w:pPr>
        <w:tabs>
          <w:tab w:val="num" w:pos="2160"/>
        </w:tabs>
        <w:ind w:left="2160" w:hanging="360"/>
      </w:pPr>
      <w:rPr>
        <w:rFonts w:ascii="Wingdings 2" w:hAnsi="Wingdings 2" w:hint="default"/>
      </w:rPr>
    </w:lvl>
    <w:lvl w:ilvl="3" w:tplc="C548031C">
      <w:start w:val="1"/>
      <w:numFmt w:val="bullet"/>
      <w:lvlText w:val=""/>
      <w:lvlJc w:val="left"/>
      <w:pPr>
        <w:tabs>
          <w:tab w:val="num" w:pos="2880"/>
        </w:tabs>
        <w:ind w:left="2880" w:hanging="360"/>
      </w:pPr>
      <w:rPr>
        <w:rFonts w:ascii="Wingdings 2" w:hAnsi="Wingdings 2" w:hint="default"/>
      </w:rPr>
    </w:lvl>
    <w:lvl w:ilvl="4" w:tplc="A5DEA0AC" w:tentative="1">
      <w:start w:val="1"/>
      <w:numFmt w:val="bullet"/>
      <w:lvlText w:val=""/>
      <w:lvlJc w:val="left"/>
      <w:pPr>
        <w:tabs>
          <w:tab w:val="num" w:pos="3600"/>
        </w:tabs>
        <w:ind w:left="3600" w:hanging="360"/>
      </w:pPr>
      <w:rPr>
        <w:rFonts w:ascii="Wingdings 2" w:hAnsi="Wingdings 2" w:hint="default"/>
      </w:rPr>
    </w:lvl>
    <w:lvl w:ilvl="5" w:tplc="69B82036" w:tentative="1">
      <w:start w:val="1"/>
      <w:numFmt w:val="bullet"/>
      <w:lvlText w:val=""/>
      <w:lvlJc w:val="left"/>
      <w:pPr>
        <w:tabs>
          <w:tab w:val="num" w:pos="4320"/>
        </w:tabs>
        <w:ind w:left="4320" w:hanging="360"/>
      </w:pPr>
      <w:rPr>
        <w:rFonts w:ascii="Wingdings 2" w:hAnsi="Wingdings 2" w:hint="default"/>
      </w:rPr>
    </w:lvl>
    <w:lvl w:ilvl="6" w:tplc="08FACA4A" w:tentative="1">
      <w:start w:val="1"/>
      <w:numFmt w:val="bullet"/>
      <w:lvlText w:val=""/>
      <w:lvlJc w:val="left"/>
      <w:pPr>
        <w:tabs>
          <w:tab w:val="num" w:pos="5040"/>
        </w:tabs>
        <w:ind w:left="5040" w:hanging="360"/>
      </w:pPr>
      <w:rPr>
        <w:rFonts w:ascii="Wingdings 2" w:hAnsi="Wingdings 2" w:hint="default"/>
      </w:rPr>
    </w:lvl>
    <w:lvl w:ilvl="7" w:tplc="3846451A" w:tentative="1">
      <w:start w:val="1"/>
      <w:numFmt w:val="bullet"/>
      <w:lvlText w:val=""/>
      <w:lvlJc w:val="left"/>
      <w:pPr>
        <w:tabs>
          <w:tab w:val="num" w:pos="5760"/>
        </w:tabs>
        <w:ind w:left="5760" w:hanging="360"/>
      </w:pPr>
      <w:rPr>
        <w:rFonts w:ascii="Wingdings 2" w:hAnsi="Wingdings 2" w:hint="default"/>
      </w:rPr>
    </w:lvl>
    <w:lvl w:ilvl="8" w:tplc="54FA84D6" w:tentative="1">
      <w:start w:val="1"/>
      <w:numFmt w:val="bullet"/>
      <w:lvlText w:val=""/>
      <w:lvlJc w:val="left"/>
      <w:pPr>
        <w:tabs>
          <w:tab w:val="num" w:pos="6480"/>
        </w:tabs>
        <w:ind w:left="6480" w:hanging="360"/>
      </w:pPr>
      <w:rPr>
        <w:rFonts w:ascii="Wingdings 2" w:hAnsi="Wingdings 2" w:hint="default"/>
      </w:rPr>
    </w:lvl>
  </w:abstractNum>
  <w:abstractNum w:abstractNumId="10">
    <w:nsid w:val="75784F27"/>
    <w:multiLevelType w:val="hybridMultilevel"/>
    <w:tmpl w:val="84F8B018"/>
    <w:lvl w:ilvl="0" w:tplc="0B0885F6">
      <w:start w:val="1"/>
      <w:numFmt w:val="bullet"/>
      <w:lvlText w:val=""/>
      <w:lvlJc w:val="left"/>
      <w:pPr>
        <w:tabs>
          <w:tab w:val="num" w:pos="720"/>
        </w:tabs>
        <w:ind w:left="720" w:hanging="360"/>
      </w:pPr>
      <w:rPr>
        <w:rFonts w:ascii="Wingdings 2" w:hAnsi="Wingdings 2" w:hint="default"/>
      </w:rPr>
    </w:lvl>
    <w:lvl w:ilvl="1" w:tplc="CC649614">
      <w:start w:val="1262"/>
      <w:numFmt w:val="bullet"/>
      <w:lvlText w:val=""/>
      <w:lvlJc w:val="left"/>
      <w:pPr>
        <w:tabs>
          <w:tab w:val="num" w:pos="1440"/>
        </w:tabs>
        <w:ind w:left="1440" w:hanging="360"/>
      </w:pPr>
      <w:rPr>
        <w:rFonts w:ascii="Wingdings" w:hAnsi="Wingdings" w:hint="default"/>
      </w:rPr>
    </w:lvl>
    <w:lvl w:ilvl="2" w:tplc="04CA19EC">
      <w:start w:val="1262"/>
      <w:numFmt w:val="bullet"/>
      <w:lvlText w:val=""/>
      <w:lvlJc w:val="left"/>
      <w:pPr>
        <w:tabs>
          <w:tab w:val="num" w:pos="2160"/>
        </w:tabs>
        <w:ind w:left="2160" w:hanging="360"/>
      </w:pPr>
      <w:rPr>
        <w:rFonts w:ascii="Wingdings 2" w:hAnsi="Wingdings 2" w:hint="default"/>
      </w:rPr>
    </w:lvl>
    <w:lvl w:ilvl="3" w:tplc="C288624E">
      <w:start w:val="1"/>
      <w:numFmt w:val="bullet"/>
      <w:lvlText w:val=""/>
      <w:lvlJc w:val="left"/>
      <w:pPr>
        <w:tabs>
          <w:tab w:val="num" w:pos="2880"/>
        </w:tabs>
        <w:ind w:left="2880" w:hanging="360"/>
      </w:pPr>
      <w:rPr>
        <w:rFonts w:ascii="Wingdings 2" w:hAnsi="Wingdings 2" w:hint="default"/>
      </w:rPr>
    </w:lvl>
    <w:lvl w:ilvl="4" w:tplc="C09A8234" w:tentative="1">
      <w:start w:val="1"/>
      <w:numFmt w:val="bullet"/>
      <w:lvlText w:val=""/>
      <w:lvlJc w:val="left"/>
      <w:pPr>
        <w:tabs>
          <w:tab w:val="num" w:pos="3600"/>
        </w:tabs>
        <w:ind w:left="3600" w:hanging="360"/>
      </w:pPr>
      <w:rPr>
        <w:rFonts w:ascii="Wingdings 2" w:hAnsi="Wingdings 2" w:hint="default"/>
      </w:rPr>
    </w:lvl>
    <w:lvl w:ilvl="5" w:tplc="A918ACE0" w:tentative="1">
      <w:start w:val="1"/>
      <w:numFmt w:val="bullet"/>
      <w:lvlText w:val=""/>
      <w:lvlJc w:val="left"/>
      <w:pPr>
        <w:tabs>
          <w:tab w:val="num" w:pos="4320"/>
        </w:tabs>
        <w:ind w:left="4320" w:hanging="360"/>
      </w:pPr>
      <w:rPr>
        <w:rFonts w:ascii="Wingdings 2" w:hAnsi="Wingdings 2" w:hint="default"/>
      </w:rPr>
    </w:lvl>
    <w:lvl w:ilvl="6" w:tplc="A82C26A6" w:tentative="1">
      <w:start w:val="1"/>
      <w:numFmt w:val="bullet"/>
      <w:lvlText w:val=""/>
      <w:lvlJc w:val="left"/>
      <w:pPr>
        <w:tabs>
          <w:tab w:val="num" w:pos="5040"/>
        </w:tabs>
        <w:ind w:left="5040" w:hanging="360"/>
      </w:pPr>
      <w:rPr>
        <w:rFonts w:ascii="Wingdings 2" w:hAnsi="Wingdings 2" w:hint="default"/>
      </w:rPr>
    </w:lvl>
    <w:lvl w:ilvl="7" w:tplc="36A26B74" w:tentative="1">
      <w:start w:val="1"/>
      <w:numFmt w:val="bullet"/>
      <w:lvlText w:val=""/>
      <w:lvlJc w:val="left"/>
      <w:pPr>
        <w:tabs>
          <w:tab w:val="num" w:pos="5760"/>
        </w:tabs>
        <w:ind w:left="5760" w:hanging="360"/>
      </w:pPr>
      <w:rPr>
        <w:rFonts w:ascii="Wingdings 2" w:hAnsi="Wingdings 2" w:hint="default"/>
      </w:rPr>
    </w:lvl>
    <w:lvl w:ilvl="8" w:tplc="C9CC47F4" w:tentative="1">
      <w:start w:val="1"/>
      <w:numFmt w:val="bullet"/>
      <w:lvlText w:val=""/>
      <w:lvlJc w:val="left"/>
      <w:pPr>
        <w:tabs>
          <w:tab w:val="num" w:pos="6480"/>
        </w:tabs>
        <w:ind w:left="6480" w:hanging="360"/>
      </w:pPr>
      <w:rPr>
        <w:rFonts w:ascii="Wingdings 2" w:hAnsi="Wingdings 2" w:hint="default"/>
      </w:rPr>
    </w:lvl>
  </w:abstractNum>
  <w:abstractNum w:abstractNumId="11">
    <w:nsid w:val="7D6C6A17"/>
    <w:multiLevelType w:val="hybridMultilevel"/>
    <w:tmpl w:val="F4ECC95A"/>
    <w:lvl w:ilvl="0" w:tplc="3EBAD3E2">
      <w:start w:val="1349"/>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597395"/>
    <w:multiLevelType w:val="hybridMultilevel"/>
    <w:tmpl w:val="DC2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2"/>
  </w:num>
  <w:num w:numId="5">
    <w:abstractNumId w:val="9"/>
  </w:num>
  <w:num w:numId="6">
    <w:abstractNumId w:val="10"/>
  </w:num>
  <w:num w:numId="7">
    <w:abstractNumId w:val="4"/>
  </w:num>
  <w:num w:numId="8">
    <w:abstractNumId w:val="11"/>
  </w:num>
  <w:num w:numId="9">
    <w:abstractNumId w:val="1"/>
  </w:num>
  <w:num w:numId="10">
    <w:abstractNumId w:val="6"/>
  </w:num>
  <w:num w:numId="11">
    <w:abstractNumId w:val="3"/>
  </w:num>
  <w:num w:numId="12">
    <w:abstractNumId w:val="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35354"/>
    <w:rsid w:val="00011947"/>
    <w:rsid w:val="00026F1B"/>
    <w:rsid w:val="0003302D"/>
    <w:rsid w:val="00035354"/>
    <w:rsid w:val="00037CD6"/>
    <w:rsid w:val="0006654E"/>
    <w:rsid w:val="00076009"/>
    <w:rsid w:val="00076A2E"/>
    <w:rsid w:val="000825BD"/>
    <w:rsid w:val="00085FC3"/>
    <w:rsid w:val="000A0100"/>
    <w:rsid w:val="000B442E"/>
    <w:rsid w:val="000C7E48"/>
    <w:rsid w:val="000D066F"/>
    <w:rsid w:val="0011623F"/>
    <w:rsid w:val="00121574"/>
    <w:rsid w:val="0012257D"/>
    <w:rsid w:val="001253E0"/>
    <w:rsid w:val="00132CD9"/>
    <w:rsid w:val="00150C07"/>
    <w:rsid w:val="00184E7D"/>
    <w:rsid w:val="00191B1F"/>
    <w:rsid w:val="001D2E4D"/>
    <w:rsid w:val="001D53AF"/>
    <w:rsid w:val="001D5B78"/>
    <w:rsid w:val="001F1285"/>
    <w:rsid w:val="001F5C62"/>
    <w:rsid w:val="00200A9C"/>
    <w:rsid w:val="00205D3E"/>
    <w:rsid w:val="00211AF1"/>
    <w:rsid w:val="00220186"/>
    <w:rsid w:val="002226B9"/>
    <w:rsid w:val="0022311A"/>
    <w:rsid w:val="002240B5"/>
    <w:rsid w:val="00274DB1"/>
    <w:rsid w:val="002861B0"/>
    <w:rsid w:val="002B0974"/>
    <w:rsid w:val="002B178D"/>
    <w:rsid w:val="002C2C66"/>
    <w:rsid w:val="002D4D4E"/>
    <w:rsid w:val="002E6645"/>
    <w:rsid w:val="002F73BF"/>
    <w:rsid w:val="0030375D"/>
    <w:rsid w:val="00304C48"/>
    <w:rsid w:val="003338EA"/>
    <w:rsid w:val="00337829"/>
    <w:rsid w:val="00341395"/>
    <w:rsid w:val="00350DED"/>
    <w:rsid w:val="00355CC5"/>
    <w:rsid w:val="00357B8A"/>
    <w:rsid w:val="003637C7"/>
    <w:rsid w:val="003B0190"/>
    <w:rsid w:val="003B575C"/>
    <w:rsid w:val="003D2C7F"/>
    <w:rsid w:val="003D6C70"/>
    <w:rsid w:val="003F4F6D"/>
    <w:rsid w:val="00407370"/>
    <w:rsid w:val="00410DD1"/>
    <w:rsid w:val="004235C1"/>
    <w:rsid w:val="00426F51"/>
    <w:rsid w:val="004555FB"/>
    <w:rsid w:val="004619F8"/>
    <w:rsid w:val="004739D1"/>
    <w:rsid w:val="004747D2"/>
    <w:rsid w:val="00487F2F"/>
    <w:rsid w:val="004A4276"/>
    <w:rsid w:val="004A5C93"/>
    <w:rsid w:val="004C6C4A"/>
    <w:rsid w:val="0050416B"/>
    <w:rsid w:val="00517EB6"/>
    <w:rsid w:val="00547B58"/>
    <w:rsid w:val="00580FCC"/>
    <w:rsid w:val="00591446"/>
    <w:rsid w:val="005B6E0D"/>
    <w:rsid w:val="00601ECA"/>
    <w:rsid w:val="00607094"/>
    <w:rsid w:val="0062130B"/>
    <w:rsid w:val="00623176"/>
    <w:rsid w:val="006239CB"/>
    <w:rsid w:val="00631B69"/>
    <w:rsid w:val="00635977"/>
    <w:rsid w:val="00637DEC"/>
    <w:rsid w:val="006464B3"/>
    <w:rsid w:val="00653968"/>
    <w:rsid w:val="00656051"/>
    <w:rsid w:val="00661605"/>
    <w:rsid w:val="006658E7"/>
    <w:rsid w:val="00671089"/>
    <w:rsid w:val="006743E1"/>
    <w:rsid w:val="006824AA"/>
    <w:rsid w:val="006A2C78"/>
    <w:rsid w:val="006A7721"/>
    <w:rsid w:val="006C0379"/>
    <w:rsid w:val="006D2431"/>
    <w:rsid w:val="006F5EEE"/>
    <w:rsid w:val="00702D55"/>
    <w:rsid w:val="0070716B"/>
    <w:rsid w:val="00723E50"/>
    <w:rsid w:val="00724039"/>
    <w:rsid w:val="0075266A"/>
    <w:rsid w:val="00756F10"/>
    <w:rsid w:val="007659C4"/>
    <w:rsid w:val="0079336F"/>
    <w:rsid w:val="00793D8C"/>
    <w:rsid w:val="007A3133"/>
    <w:rsid w:val="007B7848"/>
    <w:rsid w:val="007C5496"/>
    <w:rsid w:val="007E0A40"/>
    <w:rsid w:val="008032D9"/>
    <w:rsid w:val="00810C20"/>
    <w:rsid w:val="0081496D"/>
    <w:rsid w:val="00815AF9"/>
    <w:rsid w:val="00820C21"/>
    <w:rsid w:val="00842ACF"/>
    <w:rsid w:val="00847578"/>
    <w:rsid w:val="00864B6D"/>
    <w:rsid w:val="0089766A"/>
    <w:rsid w:val="008B2711"/>
    <w:rsid w:val="008F1D42"/>
    <w:rsid w:val="008F72C4"/>
    <w:rsid w:val="00907DB2"/>
    <w:rsid w:val="0092696C"/>
    <w:rsid w:val="009517C4"/>
    <w:rsid w:val="00954C48"/>
    <w:rsid w:val="00983773"/>
    <w:rsid w:val="00985763"/>
    <w:rsid w:val="009B7603"/>
    <w:rsid w:val="009C62DB"/>
    <w:rsid w:val="00A0403A"/>
    <w:rsid w:val="00A37201"/>
    <w:rsid w:val="00A466D7"/>
    <w:rsid w:val="00A70986"/>
    <w:rsid w:val="00A96F41"/>
    <w:rsid w:val="00AF040E"/>
    <w:rsid w:val="00B101CA"/>
    <w:rsid w:val="00B158A4"/>
    <w:rsid w:val="00B3424B"/>
    <w:rsid w:val="00B53DBE"/>
    <w:rsid w:val="00B7223C"/>
    <w:rsid w:val="00B838FE"/>
    <w:rsid w:val="00BB055C"/>
    <w:rsid w:val="00BB74F1"/>
    <w:rsid w:val="00BE0C5F"/>
    <w:rsid w:val="00BE266F"/>
    <w:rsid w:val="00BE3F6A"/>
    <w:rsid w:val="00BF54B8"/>
    <w:rsid w:val="00C11AA8"/>
    <w:rsid w:val="00C175AE"/>
    <w:rsid w:val="00C26F99"/>
    <w:rsid w:val="00C3110D"/>
    <w:rsid w:val="00C3664F"/>
    <w:rsid w:val="00C373F4"/>
    <w:rsid w:val="00C94DD8"/>
    <w:rsid w:val="00CC66BC"/>
    <w:rsid w:val="00CD450E"/>
    <w:rsid w:val="00CD59D5"/>
    <w:rsid w:val="00D14BD8"/>
    <w:rsid w:val="00D25D59"/>
    <w:rsid w:val="00D570D9"/>
    <w:rsid w:val="00D57470"/>
    <w:rsid w:val="00D607AB"/>
    <w:rsid w:val="00D74200"/>
    <w:rsid w:val="00D81564"/>
    <w:rsid w:val="00D82E80"/>
    <w:rsid w:val="00D87481"/>
    <w:rsid w:val="00D922FB"/>
    <w:rsid w:val="00DB33D7"/>
    <w:rsid w:val="00DC2A17"/>
    <w:rsid w:val="00DD1211"/>
    <w:rsid w:val="00E040BB"/>
    <w:rsid w:val="00E2651B"/>
    <w:rsid w:val="00E33577"/>
    <w:rsid w:val="00E676BB"/>
    <w:rsid w:val="00E80BFF"/>
    <w:rsid w:val="00E82EE2"/>
    <w:rsid w:val="00E90E87"/>
    <w:rsid w:val="00E97318"/>
    <w:rsid w:val="00EA6A43"/>
    <w:rsid w:val="00F00A2D"/>
    <w:rsid w:val="00F326E3"/>
    <w:rsid w:val="00F42A1D"/>
    <w:rsid w:val="00F61523"/>
    <w:rsid w:val="00F65B03"/>
    <w:rsid w:val="00F75EB7"/>
    <w:rsid w:val="00F86647"/>
    <w:rsid w:val="00FA1394"/>
    <w:rsid w:val="00FA4195"/>
    <w:rsid w:val="00FA506B"/>
    <w:rsid w:val="00FB5DFC"/>
    <w:rsid w:val="00FB7A34"/>
    <w:rsid w:val="00FC4270"/>
    <w:rsid w:val="00FC444A"/>
    <w:rsid w:val="00FD2D07"/>
    <w:rsid w:val="00FE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50E"/>
    <w:rPr>
      <w:color w:val="0000FF" w:themeColor="hyperlink"/>
      <w:u w:val="single"/>
    </w:rPr>
  </w:style>
  <w:style w:type="paragraph" w:styleId="ListParagraph">
    <w:name w:val="List Paragraph"/>
    <w:basedOn w:val="Normal"/>
    <w:uiPriority w:val="34"/>
    <w:qFormat/>
    <w:rsid w:val="00CD450E"/>
    <w:pPr>
      <w:ind w:left="720"/>
      <w:contextualSpacing/>
    </w:pPr>
  </w:style>
  <w:style w:type="table" w:styleId="TableGrid">
    <w:name w:val="Table Grid"/>
    <w:basedOn w:val="TableNormal"/>
    <w:uiPriority w:val="59"/>
    <w:rsid w:val="00765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0A01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4">
    <w:name w:val="Light Grid Accent 4"/>
    <w:basedOn w:val="TableNormal"/>
    <w:uiPriority w:val="62"/>
    <w:rsid w:val="00EA6A4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1">
    <w:name w:val="Light Shading Accent 1"/>
    <w:basedOn w:val="TableNormal"/>
    <w:uiPriority w:val="60"/>
    <w:rsid w:val="00EA6A4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A6A4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410DD1"/>
    <w:rPr>
      <w:color w:val="800080" w:themeColor="followedHyperlink"/>
      <w:u w:val="single"/>
    </w:rPr>
  </w:style>
  <w:style w:type="paragraph" w:styleId="BalloonText">
    <w:name w:val="Balloon Text"/>
    <w:basedOn w:val="Normal"/>
    <w:link w:val="BalloonTextChar"/>
    <w:uiPriority w:val="99"/>
    <w:semiHidden/>
    <w:unhideWhenUsed/>
    <w:rsid w:val="00E90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87"/>
    <w:rPr>
      <w:rFonts w:ascii="Tahoma" w:hAnsi="Tahoma" w:cs="Tahoma"/>
      <w:sz w:val="16"/>
      <w:szCs w:val="16"/>
    </w:rPr>
  </w:style>
  <w:style w:type="paragraph" w:styleId="Header">
    <w:name w:val="header"/>
    <w:basedOn w:val="Normal"/>
    <w:link w:val="HeaderChar"/>
    <w:uiPriority w:val="99"/>
    <w:unhideWhenUsed/>
    <w:rsid w:val="0054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58"/>
  </w:style>
  <w:style w:type="paragraph" w:styleId="Footer">
    <w:name w:val="footer"/>
    <w:basedOn w:val="Normal"/>
    <w:link w:val="FooterChar"/>
    <w:uiPriority w:val="99"/>
    <w:unhideWhenUsed/>
    <w:rsid w:val="0054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30625">
      <w:bodyDiv w:val="1"/>
      <w:marLeft w:val="0"/>
      <w:marRight w:val="0"/>
      <w:marTop w:val="0"/>
      <w:marBottom w:val="0"/>
      <w:divBdr>
        <w:top w:val="none" w:sz="0" w:space="0" w:color="auto"/>
        <w:left w:val="none" w:sz="0" w:space="0" w:color="auto"/>
        <w:bottom w:val="none" w:sz="0" w:space="0" w:color="auto"/>
        <w:right w:val="none" w:sz="0" w:space="0" w:color="auto"/>
      </w:divBdr>
    </w:div>
    <w:div w:id="764496519">
      <w:bodyDiv w:val="1"/>
      <w:marLeft w:val="0"/>
      <w:marRight w:val="0"/>
      <w:marTop w:val="0"/>
      <w:marBottom w:val="0"/>
      <w:divBdr>
        <w:top w:val="none" w:sz="0" w:space="0" w:color="auto"/>
        <w:left w:val="none" w:sz="0" w:space="0" w:color="auto"/>
        <w:bottom w:val="none" w:sz="0" w:space="0" w:color="auto"/>
        <w:right w:val="none" w:sz="0" w:space="0" w:color="auto"/>
      </w:divBdr>
    </w:div>
    <w:div w:id="8730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ctx.edu/iea/index.php?module=article&amp;id=70" TargetMode="External"/><Relationship Id="rId4" Type="http://schemas.microsoft.com/office/2007/relationships/stylesWithEffects" Target="stylesWithEffects.xml"/><Relationship Id="rId9" Type="http://schemas.openxmlformats.org/officeDocument/2006/relationships/hyperlink" Target="http://thecb.state.tx.us/index.cfm?objectid=6EA8957A-D7E2-C369-67F42EC166BC88F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92CF-5ACA-4299-9270-70D25D77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11</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kdlarkanskinner</dc:creator>
  <cp:lastModifiedBy>Kristin D. McDonald-Willey</cp:lastModifiedBy>
  <cp:revision>192</cp:revision>
  <cp:lastPrinted>2011-09-19T16:52:00Z</cp:lastPrinted>
  <dcterms:created xsi:type="dcterms:W3CDTF">2010-09-22T18:14:00Z</dcterms:created>
  <dcterms:modified xsi:type="dcterms:W3CDTF">2013-01-22T21:27:00Z</dcterms:modified>
</cp:coreProperties>
</file>