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7B5" w:rsidRPr="005E5743" w:rsidRDefault="00E417AC" w:rsidP="00082707">
      <w:pPr>
        <w:rPr>
          <w:rFonts w:cstheme="minorHAnsi"/>
          <w:b/>
          <w:sz w:val="28"/>
          <w:szCs w:val="28"/>
        </w:rPr>
      </w:pPr>
      <w:r>
        <w:rPr>
          <w:rFonts w:cstheme="minorHAnsi"/>
          <w:b/>
          <w:sz w:val="28"/>
          <w:szCs w:val="28"/>
        </w:rPr>
        <w:t xml:space="preserve">Instructional </w:t>
      </w:r>
      <w:r w:rsidR="00F32C05" w:rsidRPr="005E5743">
        <w:rPr>
          <w:rFonts w:cstheme="minorHAnsi"/>
          <w:b/>
          <w:sz w:val="28"/>
          <w:szCs w:val="28"/>
        </w:rPr>
        <w:t xml:space="preserve">PET </w:t>
      </w:r>
      <w:r w:rsidR="00935891" w:rsidRPr="005E5743">
        <w:rPr>
          <w:rFonts w:cstheme="minorHAnsi"/>
          <w:b/>
          <w:sz w:val="28"/>
          <w:szCs w:val="28"/>
        </w:rPr>
        <w:t xml:space="preserve">Forms </w:t>
      </w:r>
      <w:r w:rsidR="00F32C05" w:rsidRPr="005E5743">
        <w:rPr>
          <w:rFonts w:cstheme="minorHAnsi"/>
          <w:b/>
          <w:sz w:val="28"/>
          <w:szCs w:val="28"/>
        </w:rPr>
        <w:t>– Items Linked to Budget</w:t>
      </w:r>
    </w:p>
    <w:p w:rsidR="005E5743" w:rsidRDefault="005E5743" w:rsidP="00F32C05">
      <w:pPr>
        <w:jc w:val="left"/>
        <w:rPr>
          <w:rFonts w:cstheme="minorHAnsi"/>
        </w:rPr>
      </w:pPr>
    </w:p>
    <w:p w:rsidR="00D54510" w:rsidRDefault="00D54510" w:rsidP="00F32C05">
      <w:pPr>
        <w:jc w:val="left"/>
        <w:rPr>
          <w:rFonts w:cstheme="minorHAnsi"/>
        </w:rPr>
      </w:pPr>
      <w:r>
        <w:rPr>
          <w:rFonts w:cstheme="minorHAnsi"/>
        </w:rPr>
        <w:t>Reasons why every program did not present budget information into the PET form:</w:t>
      </w:r>
    </w:p>
    <w:p w:rsidR="00D54510" w:rsidRDefault="00D54510" w:rsidP="00D54510">
      <w:pPr>
        <w:pStyle w:val="ListParagraph"/>
        <w:numPr>
          <w:ilvl w:val="0"/>
          <w:numId w:val="4"/>
        </w:numPr>
        <w:jc w:val="left"/>
        <w:rPr>
          <w:rFonts w:cstheme="minorHAnsi"/>
        </w:rPr>
      </w:pPr>
      <w:r>
        <w:rPr>
          <w:rFonts w:cstheme="minorHAnsi"/>
        </w:rPr>
        <w:t>Many programs do not include information for costs included in their annual budgets (e.g.</w:t>
      </w:r>
      <w:r w:rsidR="007523BD">
        <w:rPr>
          <w:rFonts w:cstheme="minorHAnsi"/>
        </w:rPr>
        <w:t xml:space="preserve"> Associate Degree Nursing</w:t>
      </w:r>
      <w:r>
        <w:rPr>
          <w:rFonts w:cstheme="minorHAnsi"/>
        </w:rPr>
        <w:t xml:space="preserve"> printing costs)</w:t>
      </w:r>
      <w:r w:rsidR="007A7F6E">
        <w:rPr>
          <w:rFonts w:cstheme="minorHAnsi"/>
        </w:rPr>
        <w:t xml:space="preserve"> or costs associated with course additions (e.g. Physical Therapy)</w:t>
      </w:r>
    </w:p>
    <w:p w:rsidR="00D54510" w:rsidRPr="00D54510" w:rsidRDefault="00D54510" w:rsidP="00D54510">
      <w:pPr>
        <w:pStyle w:val="ListParagraph"/>
        <w:numPr>
          <w:ilvl w:val="0"/>
          <w:numId w:val="4"/>
        </w:numPr>
        <w:jc w:val="left"/>
        <w:rPr>
          <w:rFonts w:cstheme="minorHAnsi"/>
        </w:rPr>
      </w:pPr>
      <w:r>
        <w:rPr>
          <w:rFonts w:cstheme="minorHAnsi"/>
        </w:rPr>
        <w:t>Many programs are in initial planning stages and are unsure how much things will cost (e.g. cost to secure/store machining supplies during the construction efforts)</w:t>
      </w:r>
    </w:p>
    <w:p w:rsidR="00C461CF" w:rsidRDefault="00C461CF" w:rsidP="00F32C05">
      <w:pPr>
        <w:jc w:val="left"/>
        <w:rPr>
          <w:rFonts w:cstheme="minorHAnsi"/>
          <w:i/>
        </w:rPr>
      </w:pPr>
    </w:p>
    <w:p w:rsidR="008458FC" w:rsidRPr="005C6D18" w:rsidRDefault="008458FC" w:rsidP="008458FC">
      <w:pPr>
        <w:jc w:val="left"/>
        <w:rPr>
          <w:rFonts w:cstheme="minorHAnsi"/>
          <w:b/>
          <w:i/>
          <w:u w:val="single"/>
        </w:rPr>
      </w:pPr>
      <w:r w:rsidRPr="005C6D18">
        <w:rPr>
          <w:rFonts w:cstheme="minorHAnsi"/>
          <w:b/>
          <w:i/>
          <w:u w:val="single"/>
        </w:rPr>
        <w:t>YEAR</w:t>
      </w:r>
    </w:p>
    <w:p w:rsidR="008458FC" w:rsidRPr="005C6D18" w:rsidRDefault="00306CAA" w:rsidP="008458FC">
      <w:pPr>
        <w:jc w:val="left"/>
        <w:rPr>
          <w:rFonts w:cstheme="minorHAnsi"/>
          <w:i/>
        </w:rPr>
      </w:pPr>
      <w:r>
        <w:rPr>
          <w:rFonts w:cstheme="minorHAnsi"/>
          <w:i/>
        </w:rPr>
        <w:t>2-years’ worth of PET</w:t>
      </w:r>
      <w:r w:rsidR="004B38F7">
        <w:rPr>
          <w:rFonts w:cstheme="minorHAnsi"/>
          <w:i/>
        </w:rPr>
        <w:t>, budgetary</w:t>
      </w:r>
      <w:bookmarkStart w:id="0" w:name="_GoBack"/>
      <w:bookmarkEnd w:id="0"/>
      <w:r>
        <w:rPr>
          <w:rFonts w:cstheme="minorHAnsi"/>
          <w:i/>
        </w:rPr>
        <w:t xml:space="preserve"> information reviewed: </w:t>
      </w:r>
      <w:hyperlink w:anchor="Twenty_Eleven" w:history="1">
        <w:r w:rsidR="00525125" w:rsidRPr="00B40BA0">
          <w:rPr>
            <w:rStyle w:val="Hyperlink"/>
            <w:rFonts w:cstheme="minorHAnsi"/>
            <w:i/>
          </w:rPr>
          <w:t>2011</w:t>
        </w:r>
        <w:r w:rsidR="008458FC" w:rsidRPr="00B40BA0">
          <w:rPr>
            <w:rStyle w:val="Hyperlink"/>
            <w:rFonts w:cstheme="minorHAnsi"/>
            <w:i/>
          </w:rPr>
          <w:t>-2012</w:t>
        </w:r>
      </w:hyperlink>
      <w:r w:rsidR="008458FC" w:rsidRPr="005C6D18">
        <w:rPr>
          <w:rFonts w:cstheme="minorHAnsi"/>
          <w:i/>
        </w:rPr>
        <w:t xml:space="preserve">; </w:t>
      </w:r>
      <w:hyperlink w:anchor="Twenty_Ten" w:history="1">
        <w:r w:rsidR="008458FC" w:rsidRPr="00B40BA0">
          <w:rPr>
            <w:rStyle w:val="Hyperlink"/>
            <w:rFonts w:cstheme="minorHAnsi"/>
            <w:i/>
          </w:rPr>
          <w:t>2010-2011</w:t>
        </w:r>
      </w:hyperlink>
    </w:p>
    <w:p w:rsidR="00185F55" w:rsidRPr="00D54510" w:rsidRDefault="00185F55" w:rsidP="00F32C05">
      <w:pPr>
        <w:jc w:val="left"/>
        <w:rPr>
          <w:rFonts w:cstheme="minorHAnsi"/>
          <w:i/>
        </w:rPr>
      </w:pPr>
    </w:p>
    <w:p w:rsidR="00F32C05" w:rsidRDefault="00F32C05" w:rsidP="00F32C05">
      <w:pPr>
        <w:jc w:val="left"/>
        <w:rPr>
          <w:rFonts w:cstheme="minorHAnsi"/>
          <w:b/>
        </w:rPr>
      </w:pPr>
      <w:bookmarkStart w:id="1" w:name="Twenty_Eleven"/>
      <w:r w:rsidRPr="00D54510">
        <w:rPr>
          <w:rFonts w:cstheme="minorHAnsi"/>
          <w:b/>
          <w:u w:val="single"/>
        </w:rPr>
        <w:t>2011-2012</w:t>
      </w:r>
      <w:r w:rsidR="00185F55">
        <w:rPr>
          <w:rFonts w:cstheme="minorHAnsi"/>
          <w:b/>
          <w:u w:val="single"/>
        </w:rPr>
        <w:t xml:space="preserve"> </w:t>
      </w:r>
    </w:p>
    <w:bookmarkEnd w:id="1"/>
    <w:p w:rsidR="00185F55" w:rsidRPr="008458FC" w:rsidRDefault="00185F55" w:rsidP="00F32C05">
      <w:pPr>
        <w:jc w:val="left"/>
        <w:rPr>
          <w:rFonts w:cstheme="minorHAnsi"/>
          <w:sz w:val="20"/>
          <w:szCs w:val="20"/>
        </w:rPr>
      </w:pPr>
      <w:r w:rsidRPr="008458FC">
        <w:rPr>
          <w:rFonts w:cstheme="minorHAnsi"/>
          <w:sz w:val="20"/>
          <w:szCs w:val="20"/>
        </w:rPr>
        <w:t>These Instructional PET form examples are taken from the first drafted version of the 2011-2012 PET forms.</w:t>
      </w:r>
    </w:p>
    <w:tbl>
      <w:tblPr>
        <w:tblStyle w:val="LightList-Accent1"/>
        <w:tblW w:w="10728" w:type="dxa"/>
        <w:tblLook w:val="04A0" w:firstRow="1" w:lastRow="0" w:firstColumn="1" w:lastColumn="0" w:noHBand="0" w:noVBand="1"/>
      </w:tblPr>
      <w:tblGrid>
        <w:gridCol w:w="1548"/>
        <w:gridCol w:w="5580"/>
        <w:gridCol w:w="3600"/>
      </w:tblGrid>
      <w:tr w:rsidR="00F32C05" w:rsidRPr="00D54510" w:rsidTr="000F63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F32C05" w:rsidRPr="00D54510" w:rsidRDefault="00F32C05" w:rsidP="00F32C05">
            <w:pPr>
              <w:jc w:val="left"/>
              <w:rPr>
                <w:rFonts w:cstheme="minorHAnsi"/>
                <w:b w:val="0"/>
              </w:rPr>
            </w:pPr>
            <w:r w:rsidRPr="00D54510">
              <w:rPr>
                <w:rFonts w:cstheme="minorHAnsi"/>
                <w:b w:val="0"/>
              </w:rPr>
              <w:t>Program</w:t>
            </w:r>
          </w:p>
        </w:tc>
        <w:tc>
          <w:tcPr>
            <w:tcW w:w="5580" w:type="dxa"/>
          </w:tcPr>
          <w:p w:rsidR="00F32C05" w:rsidRPr="00D54510" w:rsidRDefault="00F32C05" w:rsidP="0046341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3600" w:type="dxa"/>
          </w:tcPr>
          <w:p w:rsidR="00F32C05" w:rsidRPr="00D54510" w:rsidRDefault="00F32C05" w:rsidP="00F32C0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w:t>
            </w:r>
            <w:r w:rsidR="000F6355" w:rsidRPr="00D54510">
              <w:rPr>
                <w:rFonts w:cstheme="minorHAnsi"/>
                <w:b w:val="0"/>
              </w:rPr>
              <w:t xml:space="preserve"> (Requests/Needs)</w:t>
            </w:r>
          </w:p>
        </w:tc>
      </w:tr>
      <w:tr w:rsidR="00F32C05" w:rsidRPr="00D54510" w:rsidTr="000F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F32C05" w:rsidRPr="00D54510" w:rsidRDefault="00F32C05" w:rsidP="00F32C05">
            <w:pPr>
              <w:jc w:val="left"/>
              <w:rPr>
                <w:rFonts w:cstheme="minorHAnsi"/>
                <w:b w:val="0"/>
                <w:sz w:val="20"/>
                <w:szCs w:val="20"/>
              </w:rPr>
            </w:pPr>
            <w:r w:rsidRPr="00D54510">
              <w:rPr>
                <w:rFonts w:cstheme="minorHAnsi"/>
                <w:b w:val="0"/>
                <w:sz w:val="20"/>
                <w:szCs w:val="20"/>
              </w:rPr>
              <w:t>Dental Hygiene</w:t>
            </w:r>
          </w:p>
        </w:tc>
        <w:tc>
          <w:tcPr>
            <w:tcW w:w="5580" w:type="dxa"/>
          </w:tcPr>
          <w:p w:rsidR="00F32C05" w:rsidRPr="00D54510" w:rsidRDefault="00F32C05" w:rsidP="00F32C0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Upon completion of the program, students will demonstrate the ability to comprehend, apply and evaluate information relevant to their role as an entry-level registered dental hygienist by successfully completing the Dental Hygiene National Board Exam (Cognitive Domain).  No less than 75% of the students will successfully complete the Dental Hygiene National Board Exam on the first attempt.</w:t>
            </w:r>
          </w:p>
        </w:tc>
        <w:tc>
          <w:tcPr>
            <w:tcW w:w="3600" w:type="dxa"/>
          </w:tcPr>
          <w:p w:rsidR="00F32C05" w:rsidRPr="00D54510" w:rsidRDefault="00935891" w:rsidP="00F32C05">
            <w:pPr>
              <w:jc w:val="left"/>
              <w:cnfStyle w:val="000000100000" w:firstRow="0" w:lastRow="0" w:firstColumn="0" w:lastColumn="0" w:oddVBand="0" w:evenVBand="0" w:oddHBand="1" w:evenHBand="0" w:firstRowFirstColumn="0" w:firstRowLastColumn="0" w:lastRowFirstColumn="0" w:lastRowLastColumn="0"/>
              <w:rPr>
                <w:rFonts w:cstheme="minorHAnsi"/>
                <w:b/>
                <w:sz w:val="20"/>
                <w:szCs w:val="20"/>
              </w:rPr>
            </w:pPr>
            <w:proofErr w:type="gramStart"/>
            <w:r>
              <w:rPr>
                <w:rFonts w:cstheme="minorHAnsi"/>
                <w:sz w:val="20"/>
                <w:szCs w:val="20"/>
              </w:rPr>
              <w:t xml:space="preserve">Faculty </w:t>
            </w:r>
            <w:r w:rsidR="00F32C05" w:rsidRPr="00D54510">
              <w:rPr>
                <w:rFonts w:cstheme="minorHAnsi"/>
                <w:sz w:val="20"/>
                <w:szCs w:val="20"/>
              </w:rPr>
              <w:t>need</w:t>
            </w:r>
            <w:proofErr w:type="gramEnd"/>
            <w:r w:rsidR="00F32C05" w:rsidRPr="00D54510">
              <w:rPr>
                <w:rFonts w:cstheme="minorHAnsi"/>
                <w:sz w:val="20"/>
                <w:szCs w:val="20"/>
              </w:rPr>
              <w:t xml:space="preserve"> funding to support travel to keep current on educational methodology specific to dental hygiene and to keep current with changes in accreditation standards.   </w:t>
            </w:r>
          </w:p>
        </w:tc>
      </w:tr>
      <w:tr w:rsidR="00F32C05" w:rsidRPr="00D54510" w:rsidTr="000F6355">
        <w:tc>
          <w:tcPr>
            <w:cnfStyle w:val="001000000000" w:firstRow="0" w:lastRow="0" w:firstColumn="1" w:lastColumn="0" w:oddVBand="0" w:evenVBand="0" w:oddHBand="0" w:evenHBand="0" w:firstRowFirstColumn="0" w:firstRowLastColumn="0" w:lastRowFirstColumn="0" w:lastRowLastColumn="0"/>
            <w:tcW w:w="1548" w:type="dxa"/>
          </w:tcPr>
          <w:p w:rsidR="00F32C05" w:rsidRPr="00D54510" w:rsidRDefault="00F32C05" w:rsidP="00F32C05">
            <w:pPr>
              <w:jc w:val="left"/>
              <w:rPr>
                <w:rFonts w:cstheme="minorHAnsi"/>
                <w:b w:val="0"/>
                <w:sz w:val="20"/>
                <w:szCs w:val="20"/>
              </w:rPr>
            </w:pPr>
            <w:r w:rsidRPr="00D54510">
              <w:rPr>
                <w:rFonts w:cstheme="minorHAnsi"/>
                <w:b w:val="0"/>
                <w:sz w:val="20"/>
                <w:szCs w:val="20"/>
              </w:rPr>
              <w:t>Dental Hygiene</w:t>
            </w:r>
          </w:p>
        </w:tc>
        <w:tc>
          <w:tcPr>
            <w:tcW w:w="5580" w:type="dxa"/>
          </w:tcPr>
          <w:p w:rsidR="00F32C05" w:rsidRPr="00D54510" w:rsidRDefault="00F32C05" w:rsidP="00F32C0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10">
              <w:rPr>
                <w:rFonts w:cstheme="minorHAnsi"/>
                <w:sz w:val="20"/>
                <w:szCs w:val="20"/>
              </w:rPr>
              <w:t>Upon completion of the program, students will demonstrate the technical proficiency in all skills necessary to fulfill their role as an entry-level registered dental hygienist by successfully completing a clinical regional board.  (Psychomotor Domain)   No less than 75% of the students will successfully complete the Dental Hygiene Clinical Regional Board Exam on the first attempt.</w:t>
            </w:r>
          </w:p>
        </w:tc>
        <w:tc>
          <w:tcPr>
            <w:tcW w:w="3600" w:type="dxa"/>
          </w:tcPr>
          <w:p w:rsidR="00F32C05" w:rsidRPr="00D54510" w:rsidRDefault="00F32C05" w:rsidP="00F32C05">
            <w:pPr>
              <w:jc w:val="left"/>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54510">
              <w:rPr>
                <w:rFonts w:cstheme="minorHAnsi"/>
                <w:sz w:val="20"/>
                <w:szCs w:val="20"/>
              </w:rPr>
              <w:t xml:space="preserve">Continued support for technology including dental software and updates.  </w:t>
            </w:r>
          </w:p>
        </w:tc>
      </w:tr>
    </w:tbl>
    <w:p w:rsidR="00F32C05" w:rsidRPr="00D54510" w:rsidRDefault="00F32C05" w:rsidP="00F32C05">
      <w:pPr>
        <w:jc w:val="left"/>
        <w:rPr>
          <w:rFonts w:cstheme="minorHAnsi"/>
          <w:b/>
        </w:rPr>
      </w:pPr>
    </w:p>
    <w:tbl>
      <w:tblPr>
        <w:tblStyle w:val="LightList-Accent1"/>
        <w:tblW w:w="11016" w:type="dxa"/>
        <w:tblLook w:val="04A0" w:firstRow="1" w:lastRow="0" w:firstColumn="1" w:lastColumn="0" w:noHBand="0" w:noVBand="1"/>
      </w:tblPr>
      <w:tblGrid>
        <w:gridCol w:w="997"/>
        <w:gridCol w:w="2171"/>
        <w:gridCol w:w="4303"/>
        <w:gridCol w:w="3545"/>
      </w:tblGrid>
      <w:tr w:rsidR="000F6355" w:rsidRPr="00D54510" w:rsidTr="000F63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dxa"/>
          </w:tcPr>
          <w:p w:rsidR="000F6355" w:rsidRPr="00D54510" w:rsidRDefault="000F6355" w:rsidP="002D5655">
            <w:pPr>
              <w:jc w:val="left"/>
              <w:rPr>
                <w:rFonts w:cstheme="minorHAnsi"/>
                <w:b w:val="0"/>
              </w:rPr>
            </w:pPr>
            <w:r w:rsidRPr="00D54510">
              <w:rPr>
                <w:rFonts w:cstheme="minorHAnsi"/>
                <w:b w:val="0"/>
              </w:rPr>
              <w:t>Program</w:t>
            </w:r>
          </w:p>
        </w:tc>
        <w:tc>
          <w:tcPr>
            <w:tcW w:w="2171" w:type="dxa"/>
          </w:tcPr>
          <w:p w:rsidR="000F6355" w:rsidRPr="00D54510" w:rsidRDefault="000F6355" w:rsidP="0046341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4303" w:type="dxa"/>
          </w:tcPr>
          <w:p w:rsidR="000F6355" w:rsidRPr="00D54510" w:rsidRDefault="000F6355"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c>
          <w:tcPr>
            <w:tcW w:w="3545" w:type="dxa"/>
          </w:tcPr>
          <w:p w:rsidR="000F6355" w:rsidRPr="00D54510" w:rsidRDefault="000F6355"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 Budget</w:t>
            </w:r>
          </w:p>
        </w:tc>
      </w:tr>
      <w:tr w:rsidR="000F6355" w:rsidRPr="00D54510" w:rsidTr="000F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dxa"/>
          </w:tcPr>
          <w:p w:rsidR="000F6355" w:rsidRPr="00D54510" w:rsidRDefault="000F6355" w:rsidP="002D5655">
            <w:pPr>
              <w:jc w:val="left"/>
              <w:rPr>
                <w:rFonts w:cstheme="minorHAnsi"/>
                <w:b w:val="0"/>
                <w:sz w:val="20"/>
                <w:szCs w:val="20"/>
              </w:rPr>
            </w:pPr>
            <w:r w:rsidRPr="00D54510">
              <w:rPr>
                <w:rFonts w:cstheme="minorHAnsi"/>
                <w:b w:val="0"/>
                <w:sz w:val="20"/>
                <w:szCs w:val="20"/>
              </w:rPr>
              <w:t>English</w:t>
            </w:r>
          </w:p>
        </w:tc>
        <w:tc>
          <w:tcPr>
            <w:tcW w:w="2171" w:type="dxa"/>
          </w:tcPr>
          <w:p w:rsidR="000F6355" w:rsidRPr="00D54510" w:rsidRDefault="000F6355" w:rsidP="000F635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bCs/>
                <w:sz w:val="20"/>
                <w:szCs w:val="20"/>
              </w:rPr>
              <w:t xml:space="preserve">Certify quality instruction and academic support services </w:t>
            </w:r>
            <w:r w:rsidRPr="00D54510">
              <w:rPr>
                <w:rFonts w:cstheme="minorHAnsi"/>
                <w:i/>
                <w:sz w:val="20"/>
                <w:szCs w:val="20"/>
              </w:rPr>
              <w:t>(AC Strategic Plan through 2015: Strategy 1.3).</w:t>
            </w:r>
          </w:p>
          <w:p w:rsidR="000F6355" w:rsidRPr="00D54510" w:rsidRDefault="000F6355" w:rsidP="002D565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303" w:type="dxa"/>
          </w:tcPr>
          <w:p w:rsidR="000F6355" w:rsidRPr="00935891" w:rsidRDefault="000F6355" w:rsidP="002D565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935891">
              <w:rPr>
                <w:rFonts w:cstheme="minorHAnsi"/>
                <w:sz w:val="20"/>
                <w:szCs w:val="20"/>
              </w:rPr>
              <w:t xml:space="preserve">No budgeted money is currently available to improve this problem with adjuncts. The English Department Chair has requested one more full-time faculty in order to get numbers closer to the 65 full-time/35 part-time ratio college administration seeks according to the minutes of the February 16, 2011, Dean’s Council meeting. English is nowhere near this ratio with </w:t>
            </w:r>
            <w:r w:rsidRPr="00935891">
              <w:rPr>
                <w:rFonts w:cstheme="minorHAnsi"/>
                <w:b/>
                <w:sz w:val="20"/>
                <w:szCs w:val="20"/>
              </w:rPr>
              <w:t>13</w:t>
            </w:r>
            <w:r w:rsidRPr="00935891">
              <w:rPr>
                <w:rFonts w:cstheme="minorHAnsi"/>
                <w:sz w:val="20"/>
                <w:szCs w:val="20"/>
              </w:rPr>
              <w:t xml:space="preserve"> full-time </w:t>
            </w:r>
            <w:proofErr w:type="gramStart"/>
            <w:r w:rsidRPr="00935891">
              <w:rPr>
                <w:rFonts w:cstheme="minorHAnsi"/>
                <w:sz w:val="20"/>
                <w:szCs w:val="20"/>
              </w:rPr>
              <w:t>faculty</w:t>
            </w:r>
            <w:proofErr w:type="gramEnd"/>
            <w:r w:rsidRPr="00935891">
              <w:rPr>
                <w:rFonts w:cstheme="minorHAnsi"/>
                <w:sz w:val="20"/>
                <w:szCs w:val="20"/>
              </w:rPr>
              <w:t xml:space="preserve"> and </w:t>
            </w:r>
            <w:r w:rsidRPr="00935891">
              <w:rPr>
                <w:rFonts w:cstheme="minorHAnsi"/>
                <w:b/>
                <w:sz w:val="20"/>
                <w:szCs w:val="20"/>
              </w:rPr>
              <w:t>30</w:t>
            </w:r>
            <w:r w:rsidRPr="00935891">
              <w:rPr>
                <w:rFonts w:cstheme="minorHAnsi"/>
                <w:sz w:val="20"/>
                <w:szCs w:val="20"/>
              </w:rPr>
              <w:t xml:space="preserve"> part-time faculty, which is a 30 full-time/70 part-time ratio, clearly almost backwards compared to what it should be.</w:t>
            </w:r>
          </w:p>
        </w:tc>
        <w:tc>
          <w:tcPr>
            <w:tcW w:w="3545" w:type="dxa"/>
          </w:tcPr>
          <w:p w:rsidR="000F6355" w:rsidRPr="00935891" w:rsidRDefault="000F6355" w:rsidP="000F6355">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0"/>
                <w:szCs w:val="20"/>
              </w:rPr>
            </w:pPr>
            <w:r w:rsidRPr="00935891">
              <w:rPr>
                <w:rFonts w:cstheme="minorHAnsi"/>
                <w:sz w:val="20"/>
                <w:szCs w:val="20"/>
              </w:rPr>
              <w:t>(For Action Plan of Course Revision): Title V is currently funding revisions and implementation.</w:t>
            </w:r>
          </w:p>
          <w:p w:rsidR="000F6355" w:rsidRPr="00935891" w:rsidRDefault="000F6355" w:rsidP="000F635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rsidR="00F32C05" w:rsidRPr="00D54510" w:rsidRDefault="00F32C05" w:rsidP="00F32C05">
      <w:pPr>
        <w:jc w:val="left"/>
        <w:rPr>
          <w:rFonts w:cstheme="minorHAnsi"/>
          <w:b/>
        </w:rPr>
      </w:pPr>
    </w:p>
    <w:tbl>
      <w:tblPr>
        <w:tblStyle w:val="LightList-Accent1"/>
        <w:tblW w:w="11016" w:type="dxa"/>
        <w:tblLook w:val="04A0" w:firstRow="1" w:lastRow="0" w:firstColumn="1" w:lastColumn="0" w:noHBand="0" w:noVBand="1"/>
      </w:tblPr>
      <w:tblGrid>
        <w:gridCol w:w="1421"/>
        <w:gridCol w:w="5347"/>
        <w:gridCol w:w="4248"/>
      </w:tblGrid>
      <w:tr w:rsidR="00C461CF" w:rsidRPr="00D54510" w:rsidTr="00887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rsidR="00C461CF" w:rsidRPr="00D54510" w:rsidRDefault="00C461CF" w:rsidP="002D5655">
            <w:pPr>
              <w:jc w:val="left"/>
              <w:rPr>
                <w:rFonts w:cstheme="minorHAnsi"/>
                <w:b w:val="0"/>
              </w:rPr>
            </w:pPr>
            <w:r w:rsidRPr="00D54510">
              <w:rPr>
                <w:rFonts w:cstheme="minorHAnsi"/>
                <w:b w:val="0"/>
              </w:rPr>
              <w:t>Program</w:t>
            </w:r>
          </w:p>
        </w:tc>
        <w:tc>
          <w:tcPr>
            <w:tcW w:w="5347" w:type="dxa"/>
          </w:tcPr>
          <w:p w:rsidR="00C461CF" w:rsidRPr="00D54510" w:rsidRDefault="00C461CF"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Goal or Outcome Related to Budget</w:t>
            </w:r>
          </w:p>
        </w:tc>
        <w:tc>
          <w:tcPr>
            <w:tcW w:w="4248" w:type="dxa"/>
          </w:tcPr>
          <w:p w:rsidR="00C461CF" w:rsidRPr="00D54510" w:rsidRDefault="00C461CF"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 Budget</w:t>
            </w:r>
          </w:p>
        </w:tc>
      </w:tr>
      <w:tr w:rsidR="00C461CF" w:rsidRPr="00D54510" w:rsidTr="00887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rsidR="00C461CF" w:rsidRPr="008C33DD" w:rsidRDefault="00C461CF" w:rsidP="002D5655">
            <w:pPr>
              <w:jc w:val="left"/>
              <w:rPr>
                <w:rFonts w:cstheme="minorHAnsi"/>
                <w:b w:val="0"/>
                <w:sz w:val="20"/>
                <w:szCs w:val="20"/>
              </w:rPr>
            </w:pPr>
            <w:r w:rsidRPr="008C33DD">
              <w:rPr>
                <w:rFonts w:cstheme="minorHAnsi"/>
                <w:b w:val="0"/>
                <w:sz w:val="20"/>
                <w:szCs w:val="20"/>
              </w:rPr>
              <w:t>Mortuary Science</w:t>
            </w:r>
          </w:p>
        </w:tc>
        <w:tc>
          <w:tcPr>
            <w:tcW w:w="5347" w:type="dxa"/>
          </w:tcPr>
          <w:p w:rsidR="00C461CF" w:rsidRPr="008C33DD" w:rsidRDefault="0031642E" w:rsidP="0031642E">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3DD">
              <w:rPr>
                <w:rFonts w:cstheme="minorHAnsi"/>
                <w:sz w:val="20"/>
                <w:szCs w:val="20"/>
              </w:rPr>
              <w:t>Students within the Mortuary Science program will be awarded a Certificate and/or a degree upon successful completion of program requirements.  After programming modifications, Colleague will provide a list to the Registrar’s Office of students who have successfully completed a degree or certificate.  (Strategic Plan 1.6.1.1.1)</w:t>
            </w:r>
          </w:p>
        </w:tc>
        <w:tc>
          <w:tcPr>
            <w:tcW w:w="4248" w:type="dxa"/>
          </w:tcPr>
          <w:p w:rsidR="00C461CF" w:rsidRPr="008C33DD" w:rsidRDefault="00C461CF" w:rsidP="002D5655">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33DD">
              <w:rPr>
                <w:rFonts w:cstheme="minorHAnsi"/>
                <w:sz w:val="20"/>
                <w:szCs w:val="20"/>
              </w:rPr>
              <w:t>Gained program accreditation</w:t>
            </w:r>
            <w:r w:rsidR="008C33DD">
              <w:rPr>
                <w:rFonts w:cstheme="minorHAnsi"/>
                <w:sz w:val="20"/>
                <w:szCs w:val="20"/>
              </w:rPr>
              <w:t xml:space="preserve"> (accreditation costs)</w:t>
            </w:r>
          </w:p>
        </w:tc>
      </w:tr>
    </w:tbl>
    <w:p w:rsidR="00E600EA" w:rsidRDefault="00E600EA" w:rsidP="00F32C05">
      <w:pPr>
        <w:jc w:val="left"/>
        <w:rPr>
          <w:rFonts w:cstheme="minorHAnsi"/>
          <w:b/>
        </w:rPr>
      </w:pPr>
    </w:p>
    <w:p w:rsidR="008458FC" w:rsidRDefault="008458FC" w:rsidP="00F32C05">
      <w:pPr>
        <w:jc w:val="left"/>
        <w:rPr>
          <w:rFonts w:cstheme="minorHAnsi"/>
          <w:b/>
        </w:rPr>
      </w:pPr>
    </w:p>
    <w:p w:rsidR="008458FC" w:rsidRPr="00D54510" w:rsidRDefault="008458FC" w:rsidP="00F32C05">
      <w:pPr>
        <w:jc w:val="left"/>
        <w:rPr>
          <w:rFonts w:cstheme="minorHAnsi"/>
          <w:b/>
        </w:rPr>
      </w:pPr>
    </w:p>
    <w:tbl>
      <w:tblPr>
        <w:tblStyle w:val="LightList-Accent1"/>
        <w:tblW w:w="10998" w:type="dxa"/>
        <w:tblLook w:val="04A0" w:firstRow="1" w:lastRow="0" w:firstColumn="1" w:lastColumn="0" w:noHBand="0" w:noVBand="1"/>
      </w:tblPr>
      <w:tblGrid>
        <w:gridCol w:w="997"/>
        <w:gridCol w:w="5951"/>
        <w:gridCol w:w="4050"/>
      </w:tblGrid>
      <w:tr w:rsidR="000F6355" w:rsidRPr="00D54510" w:rsidTr="000F63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dxa"/>
          </w:tcPr>
          <w:p w:rsidR="000F6355" w:rsidRPr="00D54510" w:rsidRDefault="000F6355" w:rsidP="002D5655">
            <w:pPr>
              <w:jc w:val="left"/>
              <w:rPr>
                <w:rFonts w:cstheme="minorHAnsi"/>
                <w:b w:val="0"/>
              </w:rPr>
            </w:pPr>
            <w:r w:rsidRPr="00D54510">
              <w:rPr>
                <w:rFonts w:cstheme="minorHAnsi"/>
                <w:b w:val="0"/>
              </w:rPr>
              <w:lastRenderedPageBreak/>
              <w:t>Program</w:t>
            </w:r>
          </w:p>
        </w:tc>
        <w:tc>
          <w:tcPr>
            <w:tcW w:w="5951" w:type="dxa"/>
          </w:tcPr>
          <w:p w:rsidR="000F6355" w:rsidRPr="00D54510" w:rsidRDefault="000F6355" w:rsidP="0046341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4050" w:type="dxa"/>
          </w:tcPr>
          <w:p w:rsidR="000F6355" w:rsidRPr="00D54510" w:rsidRDefault="000F6355"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 Budget</w:t>
            </w:r>
          </w:p>
        </w:tc>
      </w:tr>
      <w:tr w:rsidR="000F6355" w:rsidRPr="00D54510" w:rsidTr="000F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dxa"/>
          </w:tcPr>
          <w:p w:rsidR="000F6355" w:rsidRPr="00D54510" w:rsidRDefault="000F6355" w:rsidP="000F6355">
            <w:pPr>
              <w:jc w:val="left"/>
              <w:rPr>
                <w:rFonts w:cstheme="minorHAnsi"/>
                <w:b w:val="0"/>
                <w:sz w:val="20"/>
                <w:szCs w:val="20"/>
              </w:rPr>
            </w:pPr>
            <w:proofErr w:type="spellStart"/>
            <w:r w:rsidRPr="00D54510">
              <w:rPr>
                <w:rFonts w:cstheme="minorHAnsi"/>
                <w:b w:val="0"/>
                <w:sz w:val="20"/>
                <w:szCs w:val="20"/>
              </w:rPr>
              <w:t>ACcess</w:t>
            </w:r>
            <w:proofErr w:type="spellEnd"/>
            <w:r w:rsidRPr="00D54510">
              <w:rPr>
                <w:rFonts w:cstheme="minorHAnsi"/>
                <w:b w:val="0"/>
                <w:sz w:val="20"/>
                <w:szCs w:val="20"/>
              </w:rPr>
              <w:t xml:space="preserve"> Learning Center</w:t>
            </w:r>
          </w:p>
        </w:tc>
        <w:tc>
          <w:tcPr>
            <w:tcW w:w="5951" w:type="dxa"/>
          </w:tcPr>
          <w:p w:rsidR="000F6355" w:rsidRPr="00D54510" w:rsidRDefault="000F6355" w:rsidP="002D565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 xml:space="preserve">Upon completion of each spring semester, </w:t>
            </w:r>
            <w:proofErr w:type="spellStart"/>
            <w:r w:rsidRPr="00D54510">
              <w:rPr>
                <w:rFonts w:cstheme="minorHAnsi"/>
                <w:sz w:val="20"/>
                <w:szCs w:val="20"/>
              </w:rPr>
              <w:t>ACcess</w:t>
            </w:r>
            <w:proofErr w:type="spellEnd"/>
            <w:r w:rsidRPr="00D54510">
              <w:rPr>
                <w:rFonts w:cstheme="minorHAnsi"/>
                <w:sz w:val="20"/>
                <w:szCs w:val="20"/>
              </w:rPr>
              <w:t xml:space="preserve"> Learning Center’s partnership with </w:t>
            </w:r>
            <w:proofErr w:type="spellStart"/>
            <w:r w:rsidRPr="00D54510">
              <w:rPr>
                <w:rFonts w:cstheme="minorHAnsi"/>
                <w:sz w:val="20"/>
                <w:szCs w:val="20"/>
              </w:rPr>
              <w:t>Caprock</w:t>
            </w:r>
            <w:proofErr w:type="spellEnd"/>
            <w:r w:rsidRPr="00D54510">
              <w:rPr>
                <w:rFonts w:cstheme="minorHAnsi"/>
                <w:sz w:val="20"/>
                <w:szCs w:val="20"/>
              </w:rPr>
              <w:t xml:space="preserve"> High School will assess the gaps in readiness, by making at least 50% of </w:t>
            </w:r>
            <w:proofErr w:type="gramStart"/>
            <w:r w:rsidRPr="00D54510">
              <w:rPr>
                <w:rFonts w:cstheme="minorHAnsi"/>
                <w:sz w:val="20"/>
                <w:szCs w:val="20"/>
              </w:rPr>
              <w:t>students</w:t>
            </w:r>
            <w:proofErr w:type="gramEnd"/>
            <w:r w:rsidRPr="00D54510">
              <w:rPr>
                <w:rFonts w:cstheme="minorHAnsi"/>
                <w:sz w:val="20"/>
                <w:szCs w:val="20"/>
              </w:rPr>
              <w:t xml:space="preserve"> college level, in one area of developmental coursework</w:t>
            </w:r>
            <w:r w:rsidRPr="00306CAA">
              <w:rPr>
                <w:rFonts w:cstheme="minorHAnsi"/>
                <w:sz w:val="20"/>
                <w:szCs w:val="20"/>
              </w:rPr>
              <w:t>.  (3.2.1 Strategic Plan)</w:t>
            </w:r>
          </w:p>
        </w:tc>
        <w:tc>
          <w:tcPr>
            <w:tcW w:w="4050" w:type="dxa"/>
          </w:tcPr>
          <w:p w:rsidR="000F6355" w:rsidRPr="00D54510" w:rsidRDefault="000F6355" w:rsidP="000F635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proofErr w:type="spellStart"/>
            <w:r w:rsidRPr="00D54510">
              <w:rPr>
                <w:rFonts w:cstheme="minorHAnsi"/>
                <w:sz w:val="20"/>
                <w:szCs w:val="20"/>
              </w:rPr>
              <w:t>Caprock</w:t>
            </w:r>
            <w:proofErr w:type="spellEnd"/>
            <w:r w:rsidRPr="00D54510">
              <w:rPr>
                <w:rFonts w:cstheme="minorHAnsi"/>
                <w:sz w:val="20"/>
                <w:szCs w:val="20"/>
              </w:rPr>
              <w:t xml:space="preserve"> will give Learning Center $20,000 through a grant for this project.</w:t>
            </w:r>
          </w:p>
          <w:p w:rsidR="000F6355" w:rsidRPr="00D54510" w:rsidRDefault="000F6355" w:rsidP="000F6355">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F6355" w:rsidRPr="00D54510" w:rsidTr="000F6355">
        <w:tc>
          <w:tcPr>
            <w:cnfStyle w:val="001000000000" w:firstRow="0" w:lastRow="0" w:firstColumn="1" w:lastColumn="0" w:oddVBand="0" w:evenVBand="0" w:oddHBand="0" w:evenHBand="0" w:firstRowFirstColumn="0" w:firstRowLastColumn="0" w:lastRowFirstColumn="0" w:lastRowLastColumn="0"/>
            <w:tcW w:w="997" w:type="dxa"/>
          </w:tcPr>
          <w:p w:rsidR="000F6355" w:rsidRPr="00D54510" w:rsidRDefault="000F6355" w:rsidP="000F6355">
            <w:pPr>
              <w:jc w:val="left"/>
              <w:rPr>
                <w:rFonts w:cstheme="minorHAnsi"/>
                <w:b w:val="0"/>
                <w:sz w:val="20"/>
                <w:szCs w:val="20"/>
              </w:rPr>
            </w:pPr>
            <w:proofErr w:type="spellStart"/>
            <w:r w:rsidRPr="00D54510">
              <w:rPr>
                <w:rFonts w:cstheme="minorHAnsi"/>
                <w:b w:val="0"/>
                <w:sz w:val="20"/>
                <w:szCs w:val="20"/>
              </w:rPr>
              <w:t>ACcess</w:t>
            </w:r>
            <w:proofErr w:type="spellEnd"/>
            <w:r w:rsidRPr="00D54510">
              <w:rPr>
                <w:rFonts w:cstheme="minorHAnsi"/>
                <w:b w:val="0"/>
                <w:sz w:val="20"/>
                <w:szCs w:val="20"/>
              </w:rPr>
              <w:t xml:space="preserve"> Learning Center</w:t>
            </w:r>
          </w:p>
        </w:tc>
        <w:tc>
          <w:tcPr>
            <w:tcW w:w="5951" w:type="dxa"/>
          </w:tcPr>
          <w:p w:rsidR="000F6355" w:rsidRPr="00D54510" w:rsidRDefault="000F6355" w:rsidP="002D565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10">
              <w:rPr>
                <w:rFonts w:cstheme="minorHAnsi"/>
                <w:sz w:val="20"/>
                <w:szCs w:val="20"/>
              </w:rPr>
              <w:t>Upon completion of a Basic Academic Skills course, 45% of students will improve one course level as measured by pre-</w:t>
            </w:r>
            <w:proofErr w:type="spellStart"/>
            <w:r w:rsidRPr="00D54510">
              <w:rPr>
                <w:rFonts w:cstheme="minorHAnsi"/>
                <w:sz w:val="20"/>
                <w:szCs w:val="20"/>
              </w:rPr>
              <w:t>post test</w:t>
            </w:r>
            <w:proofErr w:type="spellEnd"/>
            <w:r w:rsidRPr="00D54510">
              <w:rPr>
                <w:rFonts w:cstheme="minorHAnsi"/>
                <w:sz w:val="20"/>
                <w:szCs w:val="20"/>
              </w:rPr>
              <w:t xml:space="preserve"> assessment.</w:t>
            </w:r>
          </w:p>
        </w:tc>
        <w:tc>
          <w:tcPr>
            <w:tcW w:w="4050" w:type="dxa"/>
          </w:tcPr>
          <w:p w:rsidR="000F6355" w:rsidRPr="00D54510" w:rsidRDefault="000F6355" w:rsidP="000F635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10">
              <w:rPr>
                <w:rFonts w:cstheme="minorHAnsi"/>
                <w:sz w:val="20"/>
                <w:szCs w:val="20"/>
              </w:rPr>
              <w:t xml:space="preserve">The revision of the math curriculum was funded by the Texas College Board. </w:t>
            </w:r>
          </w:p>
          <w:p w:rsidR="000F6355" w:rsidRPr="00D54510" w:rsidRDefault="000F6355" w:rsidP="000F635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rsidR="0031642E" w:rsidRPr="00D54510" w:rsidRDefault="0031642E" w:rsidP="00F32C05">
      <w:pPr>
        <w:jc w:val="left"/>
        <w:rPr>
          <w:rFonts w:cstheme="minorHAnsi"/>
          <w:u w:val="single"/>
        </w:rPr>
      </w:pPr>
    </w:p>
    <w:tbl>
      <w:tblPr>
        <w:tblStyle w:val="LightList-Accent1"/>
        <w:tblW w:w="11016" w:type="dxa"/>
        <w:tblLook w:val="04A0" w:firstRow="1" w:lastRow="0" w:firstColumn="1" w:lastColumn="0" w:noHBand="0" w:noVBand="1"/>
      </w:tblPr>
      <w:tblGrid>
        <w:gridCol w:w="1421"/>
        <w:gridCol w:w="4370"/>
        <w:gridCol w:w="5225"/>
      </w:tblGrid>
      <w:tr w:rsidR="0031642E" w:rsidRPr="00D54510" w:rsidTr="002D56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rsidR="0031642E" w:rsidRPr="00D54510" w:rsidRDefault="0031642E" w:rsidP="002D5655">
            <w:pPr>
              <w:jc w:val="left"/>
              <w:rPr>
                <w:rFonts w:cstheme="minorHAnsi"/>
                <w:b w:val="0"/>
              </w:rPr>
            </w:pPr>
            <w:r w:rsidRPr="00D54510">
              <w:rPr>
                <w:rFonts w:cstheme="minorHAnsi"/>
                <w:b w:val="0"/>
              </w:rPr>
              <w:t>Program</w:t>
            </w:r>
          </w:p>
        </w:tc>
        <w:tc>
          <w:tcPr>
            <w:tcW w:w="4370" w:type="dxa"/>
          </w:tcPr>
          <w:p w:rsidR="0031642E" w:rsidRPr="00D54510" w:rsidRDefault="0031642E"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Goal or Outcome Related to Budget</w:t>
            </w:r>
          </w:p>
        </w:tc>
        <w:tc>
          <w:tcPr>
            <w:tcW w:w="5225" w:type="dxa"/>
          </w:tcPr>
          <w:p w:rsidR="0031642E" w:rsidRPr="00D54510" w:rsidRDefault="0031642E"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 Budget</w:t>
            </w:r>
          </w:p>
        </w:tc>
      </w:tr>
      <w:tr w:rsidR="0031642E" w:rsidRPr="00D54510" w:rsidTr="0031642E">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421" w:type="dxa"/>
          </w:tcPr>
          <w:p w:rsidR="0031642E" w:rsidRPr="00D54510" w:rsidRDefault="0031642E" w:rsidP="002D5655">
            <w:pPr>
              <w:jc w:val="left"/>
              <w:rPr>
                <w:rFonts w:cstheme="minorHAnsi"/>
                <w:b w:val="0"/>
                <w:sz w:val="20"/>
                <w:szCs w:val="20"/>
              </w:rPr>
            </w:pPr>
            <w:r w:rsidRPr="00D54510">
              <w:rPr>
                <w:rFonts w:cstheme="minorHAnsi"/>
                <w:b w:val="0"/>
                <w:sz w:val="20"/>
                <w:szCs w:val="20"/>
              </w:rPr>
              <w:t>Biology</w:t>
            </w:r>
          </w:p>
        </w:tc>
        <w:tc>
          <w:tcPr>
            <w:tcW w:w="4370" w:type="dxa"/>
          </w:tcPr>
          <w:p w:rsidR="0031642E" w:rsidRPr="00D54510" w:rsidRDefault="0031642E" w:rsidP="0031642E">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D54510">
              <w:rPr>
                <w:rFonts w:cstheme="minorHAnsi"/>
                <w:noProof/>
                <w:sz w:val="20"/>
                <w:szCs w:val="20"/>
              </w:rPr>
              <w:t xml:space="preserve">Upon successful completion of the  Biology course, students will answer 70% of the 34 embedded questions on the final correctly.  </w:t>
            </w:r>
          </w:p>
        </w:tc>
        <w:tc>
          <w:tcPr>
            <w:tcW w:w="5225" w:type="dxa"/>
          </w:tcPr>
          <w:p w:rsidR="0031642E" w:rsidRPr="00D54510" w:rsidRDefault="0031642E" w:rsidP="0031642E">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(Course Redesign Cost)</w:t>
            </w:r>
          </w:p>
        </w:tc>
      </w:tr>
    </w:tbl>
    <w:p w:rsidR="0031642E" w:rsidRPr="00D54510" w:rsidRDefault="0031642E" w:rsidP="00F32C05">
      <w:pPr>
        <w:jc w:val="left"/>
        <w:rPr>
          <w:rFonts w:cstheme="minorHAnsi"/>
          <w:u w:val="single"/>
        </w:rPr>
      </w:pPr>
    </w:p>
    <w:tbl>
      <w:tblPr>
        <w:tblStyle w:val="LightList-Accent1"/>
        <w:tblW w:w="11016" w:type="dxa"/>
        <w:tblLook w:val="04A0" w:firstRow="1" w:lastRow="0" w:firstColumn="1" w:lastColumn="0" w:noHBand="0" w:noVBand="1"/>
      </w:tblPr>
      <w:tblGrid>
        <w:gridCol w:w="1421"/>
        <w:gridCol w:w="4370"/>
        <w:gridCol w:w="5225"/>
      </w:tblGrid>
      <w:tr w:rsidR="0046341E" w:rsidRPr="00D54510" w:rsidTr="00463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rsidR="0046341E" w:rsidRPr="00D54510" w:rsidRDefault="0046341E" w:rsidP="002D5655">
            <w:pPr>
              <w:jc w:val="left"/>
              <w:rPr>
                <w:rFonts w:cstheme="minorHAnsi"/>
                <w:b w:val="0"/>
              </w:rPr>
            </w:pPr>
            <w:r w:rsidRPr="00D54510">
              <w:rPr>
                <w:rFonts w:cstheme="minorHAnsi"/>
                <w:b w:val="0"/>
              </w:rPr>
              <w:t>Program</w:t>
            </w:r>
          </w:p>
        </w:tc>
        <w:tc>
          <w:tcPr>
            <w:tcW w:w="4370" w:type="dxa"/>
          </w:tcPr>
          <w:p w:rsidR="0046341E" w:rsidRPr="00D54510" w:rsidRDefault="0046341E"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Goal or Outcome Related to Budget</w:t>
            </w:r>
          </w:p>
        </w:tc>
        <w:tc>
          <w:tcPr>
            <w:tcW w:w="5225" w:type="dxa"/>
          </w:tcPr>
          <w:p w:rsidR="0046341E" w:rsidRPr="00D54510" w:rsidRDefault="0046341E"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r>
      <w:tr w:rsidR="0046341E" w:rsidRPr="00D54510" w:rsidTr="00463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rsidR="0046341E" w:rsidRPr="00D54510" w:rsidRDefault="0046341E" w:rsidP="002D5655">
            <w:pPr>
              <w:jc w:val="left"/>
              <w:rPr>
                <w:rFonts w:cstheme="minorHAnsi"/>
                <w:b w:val="0"/>
                <w:sz w:val="20"/>
                <w:szCs w:val="20"/>
              </w:rPr>
            </w:pPr>
            <w:r w:rsidRPr="00D54510">
              <w:rPr>
                <w:rFonts w:cstheme="minorHAnsi"/>
                <w:b w:val="0"/>
                <w:sz w:val="20"/>
                <w:szCs w:val="20"/>
              </w:rPr>
              <w:t>Behavioral Sciences</w:t>
            </w:r>
          </w:p>
        </w:tc>
        <w:tc>
          <w:tcPr>
            <w:tcW w:w="4370" w:type="dxa"/>
          </w:tcPr>
          <w:p w:rsidR="0046341E" w:rsidRPr="00D54510" w:rsidRDefault="0046341E" w:rsidP="002D5655">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(Pre and Post test for students instructed with one of two methodologies: lecture only or lecture and lab)</w:t>
            </w:r>
          </w:p>
        </w:tc>
        <w:tc>
          <w:tcPr>
            <w:tcW w:w="5225" w:type="dxa"/>
          </w:tcPr>
          <w:p w:rsidR="0046341E" w:rsidRPr="00D54510" w:rsidRDefault="00D13B54" w:rsidP="002D5655">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w:t>
            </w:r>
            <w:r w:rsidR="0046341E" w:rsidRPr="00D54510">
              <w:rPr>
                <w:rFonts w:cstheme="minorHAnsi"/>
                <w:sz w:val="20"/>
                <w:szCs w:val="20"/>
              </w:rPr>
              <w:t>For almost all of their goals this program cited “printing costs” as the only definable cost</w:t>
            </w:r>
            <w:r>
              <w:rPr>
                <w:rFonts w:cstheme="minorHAnsi"/>
                <w:sz w:val="20"/>
                <w:szCs w:val="20"/>
              </w:rPr>
              <w:t>)</w:t>
            </w:r>
          </w:p>
        </w:tc>
      </w:tr>
    </w:tbl>
    <w:p w:rsidR="00BB033F" w:rsidRPr="00D54510" w:rsidRDefault="00BB033F" w:rsidP="00F32C05">
      <w:pPr>
        <w:jc w:val="left"/>
        <w:rPr>
          <w:rFonts w:cstheme="minorHAnsi"/>
          <w:u w:val="single"/>
        </w:rPr>
      </w:pPr>
    </w:p>
    <w:tbl>
      <w:tblPr>
        <w:tblStyle w:val="LightList-Accent1"/>
        <w:tblW w:w="10998" w:type="dxa"/>
        <w:tblLook w:val="04A0" w:firstRow="1" w:lastRow="0" w:firstColumn="1" w:lastColumn="0" w:noHBand="0" w:noVBand="1"/>
      </w:tblPr>
      <w:tblGrid>
        <w:gridCol w:w="997"/>
        <w:gridCol w:w="6131"/>
        <w:gridCol w:w="3870"/>
      </w:tblGrid>
      <w:tr w:rsidR="004600CC" w:rsidRPr="00D54510" w:rsidTr="00460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dxa"/>
          </w:tcPr>
          <w:p w:rsidR="004600CC" w:rsidRPr="00D54510" w:rsidRDefault="004600CC" w:rsidP="002D5655">
            <w:pPr>
              <w:jc w:val="left"/>
              <w:rPr>
                <w:rFonts w:cstheme="minorHAnsi"/>
                <w:b w:val="0"/>
              </w:rPr>
            </w:pPr>
            <w:r w:rsidRPr="00D54510">
              <w:rPr>
                <w:rFonts w:cstheme="minorHAnsi"/>
                <w:b w:val="0"/>
              </w:rPr>
              <w:t>Program</w:t>
            </w:r>
          </w:p>
        </w:tc>
        <w:tc>
          <w:tcPr>
            <w:tcW w:w="6131" w:type="dxa"/>
          </w:tcPr>
          <w:p w:rsidR="004600CC" w:rsidRPr="00D54510" w:rsidRDefault="004600CC" w:rsidP="0046341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3870" w:type="dxa"/>
          </w:tcPr>
          <w:p w:rsidR="004600CC" w:rsidRPr="00D54510" w:rsidRDefault="004600CC"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r>
      <w:tr w:rsidR="004600CC" w:rsidRPr="00D54510" w:rsidTr="00E600EA">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7" w:type="dxa"/>
          </w:tcPr>
          <w:p w:rsidR="004600CC" w:rsidRPr="00D54510" w:rsidRDefault="004600CC" w:rsidP="002D5655">
            <w:pPr>
              <w:jc w:val="left"/>
              <w:rPr>
                <w:rFonts w:cstheme="minorHAnsi"/>
                <w:b w:val="0"/>
                <w:sz w:val="20"/>
                <w:szCs w:val="20"/>
              </w:rPr>
            </w:pPr>
            <w:r w:rsidRPr="00D54510">
              <w:rPr>
                <w:rFonts w:cstheme="minorHAnsi"/>
                <w:b w:val="0"/>
                <w:sz w:val="20"/>
                <w:szCs w:val="20"/>
              </w:rPr>
              <w:t>CIS</w:t>
            </w:r>
          </w:p>
        </w:tc>
        <w:tc>
          <w:tcPr>
            <w:tcW w:w="6131" w:type="dxa"/>
          </w:tcPr>
          <w:p w:rsidR="004600CC" w:rsidRPr="00D54510" w:rsidRDefault="004600CC" w:rsidP="0046341E">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D54510">
              <w:rPr>
                <w:rFonts w:asciiTheme="minorHAnsi" w:hAnsiTheme="minorHAnsi" w:cstheme="minorHAnsi"/>
                <w:color w:val="auto"/>
                <w:sz w:val="20"/>
                <w:szCs w:val="20"/>
              </w:rPr>
              <w:t>After training all instructional leadership on expectations for advisory committee meetings, advisory committee membership will make recommendations for program and course pedagogy (AC Strategic Plan through 2015: Strategy 1.1; Task 1.5.4.3).</w:t>
            </w:r>
          </w:p>
        </w:tc>
        <w:tc>
          <w:tcPr>
            <w:tcW w:w="3870" w:type="dxa"/>
          </w:tcPr>
          <w:p w:rsidR="004600CC" w:rsidRPr="00D54510" w:rsidRDefault="004600CC" w:rsidP="00E600EA">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D54510">
              <w:rPr>
                <w:rFonts w:cstheme="minorHAnsi"/>
                <w:sz w:val="20"/>
                <w:szCs w:val="20"/>
              </w:rPr>
              <w:t>$200 for food at the meeting</w:t>
            </w:r>
          </w:p>
          <w:p w:rsidR="004600CC" w:rsidRPr="00D54510" w:rsidRDefault="004600CC" w:rsidP="00E600EA">
            <w:pPr>
              <w:spacing w:line="276" w:lineRule="auto"/>
              <w:ind w:left="-288" w:firstLine="288"/>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D54510">
              <w:rPr>
                <w:rFonts w:cstheme="minorHAnsi"/>
                <w:sz w:val="20"/>
                <w:szCs w:val="20"/>
              </w:rPr>
              <w:t>$10 for postage</w:t>
            </w:r>
          </w:p>
          <w:p w:rsidR="004600CC" w:rsidRPr="00D54510" w:rsidRDefault="004600CC" w:rsidP="002D5655">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4600CC" w:rsidRPr="00D54510" w:rsidTr="00E600EA">
        <w:trPr>
          <w:trHeight w:val="520"/>
        </w:trPr>
        <w:tc>
          <w:tcPr>
            <w:cnfStyle w:val="001000000000" w:firstRow="0" w:lastRow="0" w:firstColumn="1" w:lastColumn="0" w:oddVBand="0" w:evenVBand="0" w:oddHBand="0" w:evenHBand="0" w:firstRowFirstColumn="0" w:firstRowLastColumn="0" w:lastRowFirstColumn="0" w:lastRowLastColumn="0"/>
            <w:tcW w:w="997" w:type="dxa"/>
          </w:tcPr>
          <w:p w:rsidR="004600CC" w:rsidRPr="00D54510" w:rsidRDefault="004600CC" w:rsidP="002D5655">
            <w:pPr>
              <w:jc w:val="left"/>
              <w:rPr>
                <w:rFonts w:cstheme="minorHAnsi"/>
                <w:b w:val="0"/>
                <w:sz w:val="20"/>
                <w:szCs w:val="20"/>
              </w:rPr>
            </w:pPr>
            <w:r w:rsidRPr="00D54510">
              <w:rPr>
                <w:rFonts w:cstheme="minorHAnsi"/>
                <w:b w:val="0"/>
                <w:sz w:val="20"/>
                <w:szCs w:val="20"/>
              </w:rPr>
              <w:t>CIS</w:t>
            </w:r>
          </w:p>
        </w:tc>
        <w:tc>
          <w:tcPr>
            <w:tcW w:w="6131" w:type="dxa"/>
          </w:tcPr>
          <w:p w:rsidR="004600CC" w:rsidRPr="00D54510" w:rsidRDefault="004600CC" w:rsidP="0046341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54510">
              <w:rPr>
                <w:rFonts w:asciiTheme="minorHAnsi" w:hAnsiTheme="minorHAnsi" w:cstheme="minorHAnsi"/>
                <w:color w:val="auto"/>
                <w:sz w:val="20"/>
                <w:szCs w:val="20"/>
              </w:rPr>
              <w:t>AC faculty in specific disciplines and faculty from the same disciplines at area universities will hold joint faculty meetings to ensure outcomes by course and program (AC Strategic Plan through 2015: Strategy 1.1; Task 1.7.1.3).</w:t>
            </w:r>
          </w:p>
        </w:tc>
        <w:tc>
          <w:tcPr>
            <w:tcW w:w="3870" w:type="dxa"/>
          </w:tcPr>
          <w:p w:rsidR="004600CC" w:rsidRPr="00D54510" w:rsidRDefault="004600CC" w:rsidP="0046341E">
            <w:pPr>
              <w:spacing w:line="276" w:lineRule="auto"/>
              <w:jc w:val="left"/>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D54510">
              <w:rPr>
                <w:rFonts w:cstheme="minorHAnsi"/>
                <w:sz w:val="20"/>
                <w:szCs w:val="20"/>
              </w:rPr>
              <w:t>Reimbursement for gasoline based up the mileage reimbursement rates to</w:t>
            </w:r>
            <w:r w:rsidR="00E600EA">
              <w:rPr>
                <w:rFonts w:cstheme="minorHAnsi"/>
                <w:sz w:val="20"/>
                <w:szCs w:val="20"/>
              </w:rPr>
              <w:t xml:space="preserve">/from Amarillo College and ENMU </w:t>
            </w:r>
            <w:proofErr w:type="gramStart"/>
            <w:r w:rsidRPr="00D54510">
              <w:rPr>
                <w:rFonts w:cstheme="minorHAnsi"/>
                <w:sz w:val="20"/>
                <w:szCs w:val="20"/>
              </w:rPr>
              <w:t>and  OPSU</w:t>
            </w:r>
            <w:proofErr w:type="gramEnd"/>
            <w:r w:rsidRPr="00D54510">
              <w:rPr>
                <w:rFonts w:cstheme="minorHAnsi"/>
                <w:sz w:val="20"/>
                <w:szCs w:val="20"/>
              </w:rPr>
              <w:t>.</w:t>
            </w:r>
          </w:p>
        </w:tc>
      </w:tr>
    </w:tbl>
    <w:p w:rsidR="00082707" w:rsidRPr="00D54510" w:rsidRDefault="00082707" w:rsidP="00F32C05">
      <w:pPr>
        <w:jc w:val="left"/>
        <w:rPr>
          <w:rFonts w:cstheme="minorHAnsi"/>
          <w:u w:val="single"/>
        </w:rPr>
      </w:pPr>
    </w:p>
    <w:tbl>
      <w:tblPr>
        <w:tblStyle w:val="LightList-Accent1"/>
        <w:tblW w:w="10998" w:type="dxa"/>
        <w:tblLook w:val="04A0" w:firstRow="1" w:lastRow="0" w:firstColumn="1" w:lastColumn="0" w:noHBand="0" w:noVBand="1"/>
      </w:tblPr>
      <w:tblGrid>
        <w:gridCol w:w="997"/>
        <w:gridCol w:w="5951"/>
        <w:gridCol w:w="4050"/>
      </w:tblGrid>
      <w:tr w:rsidR="004600CC" w:rsidRPr="00D54510" w:rsidTr="002D56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dxa"/>
          </w:tcPr>
          <w:p w:rsidR="004600CC" w:rsidRPr="00D54510" w:rsidRDefault="004600CC" w:rsidP="002D5655">
            <w:pPr>
              <w:jc w:val="left"/>
              <w:rPr>
                <w:rFonts w:cstheme="minorHAnsi"/>
                <w:b w:val="0"/>
              </w:rPr>
            </w:pPr>
            <w:r w:rsidRPr="00D54510">
              <w:rPr>
                <w:rFonts w:cstheme="minorHAnsi"/>
                <w:b w:val="0"/>
              </w:rPr>
              <w:t>Program</w:t>
            </w:r>
          </w:p>
        </w:tc>
        <w:tc>
          <w:tcPr>
            <w:tcW w:w="5951" w:type="dxa"/>
          </w:tcPr>
          <w:p w:rsidR="004600CC" w:rsidRPr="00D54510" w:rsidRDefault="004600CC" w:rsidP="0046341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Goal or Outcome Related to Budget</w:t>
            </w:r>
          </w:p>
        </w:tc>
        <w:tc>
          <w:tcPr>
            <w:tcW w:w="4050" w:type="dxa"/>
          </w:tcPr>
          <w:p w:rsidR="004600CC" w:rsidRPr="00D54510" w:rsidRDefault="004600CC"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 Budget</w:t>
            </w:r>
          </w:p>
        </w:tc>
      </w:tr>
      <w:tr w:rsidR="004600CC" w:rsidRPr="00D54510" w:rsidTr="004600CC">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997" w:type="dxa"/>
          </w:tcPr>
          <w:p w:rsidR="004600CC" w:rsidRPr="00D54510" w:rsidRDefault="004600CC" w:rsidP="002D5655">
            <w:pPr>
              <w:jc w:val="left"/>
              <w:rPr>
                <w:rFonts w:cstheme="minorHAnsi"/>
                <w:b w:val="0"/>
                <w:sz w:val="20"/>
                <w:szCs w:val="20"/>
              </w:rPr>
            </w:pPr>
            <w:proofErr w:type="spellStart"/>
            <w:r w:rsidRPr="00D54510">
              <w:rPr>
                <w:rFonts w:cstheme="minorHAnsi"/>
                <w:b w:val="0"/>
                <w:sz w:val="20"/>
                <w:szCs w:val="20"/>
              </w:rPr>
              <w:t>Comm</w:t>
            </w:r>
            <w:proofErr w:type="spellEnd"/>
            <w:r w:rsidRPr="00D54510">
              <w:rPr>
                <w:rFonts w:cstheme="minorHAnsi"/>
                <w:b w:val="0"/>
                <w:sz w:val="20"/>
                <w:szCs w:val="20"/>
              </w:rPr>
              <w:t xml:space="preserve"> and Theatre</w:t>
            </w:r>
          </w:p>
        </w:tc>
        <w:tc>
          <w:tcPr>
            <w:tcW w:w="5951" w:type="dxa"/>
          </w:tcPr>
          <w:p w:rsidR="004600CC" w:rsidRPr="00E600EA" w:rsidRDefault="004600CC" w:rsidP="002D565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600EA">
              <w:rPr>
                <w:rFonts w:cstheme="minorHAnsi"/>
                <w:sz w:val="20"/>
                <w:szCs w:val="20"/>
              </w:rPr>
              <w:t>Access to faculty and classrooms should become more centralized and accessible. New classrooms and offices will be finished and open to students. Smart Classrooms will provide improved technology. New Department Assistant will provide cohesion and assistance to both students and faculty.</w:t>
            </w:r>
          </w:p>
        </w:tc>
        <w:tc>
          <w:tcPr>
            <w:tcW w:w="4050" w:type="dxa"/>
          </w:tcPr>
          <w:p w:rsidR="004600CC" w:rsidRPr="00E600EA" w:rsidRDefault="004600CC" w:rsidP="004600CC">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600EA">
              <w:rPr>
                <w:rFonts w:cstheme="minorHAnsi"/>
                <w:sz w:val="20"/>
                <w:szCs w:val="20"/>
              </w:rPr>
              <w:t>Budget considerations were under the Bond Issue.</w:t>
            </w:r>
          </w:p>
          <w:p w:rsidR="004600CC" w:rsidRPr="00E600EA" w:rsidRDefault="004600CC" w:rsidP="002D5655">
            <w:pPr>
              <w:spacing w:line="276" w:lineRule="auto"/>
              <w:contextualSpacing/>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rsidR="004600CC" w:rsidRPr="00D54510" w:rsidRDefault="004600CC" w:rsidP="00F32C05">
      <w:pPr>
        <w:jc w:val="left"/>
        <w:rPr>
          <w:rFonts w:cstheme="minorHAnsi"/>
          <w:u w:val="single"/>
        </w:rPr>
      </w:pPr>
    </w:p>
    <w:tbl>
      <w:tblPr>
        <w:tblStyle w:val="LightList-Accent1"/>
        <w:tblW w:w="10998" w:type="dxa"/>
        <w:tblLook w:val="04A0" w:firstRow="1" w:lastRow="0" w:firstColumn="1" w:lastColumn="0" w:noHBand="0" w:noVBand="1"/>
      </w:tblPr>
      <w:tblGrid>
        <w:gridCol w:w="997"/>
        <w:gridCol w:w="6401"/>
        <w:gridCol w:w="3600"/>
      </w:tblGrid>
      <w:tr w:rsidR="004600CC" w:rsidRPr="00D54510" w:rsidTr="004600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dxa"/>
          </w:tcPr>
          <w:p w:rsidR="004600CC" w:rsidRPr="00D54510" w:rsidRDefault="004600CC" w:rsidP="002D5655">
            <w:pPr>
              <w:jc w:val="left"/>
              <w:rPr>
                <w:rFonts w:cstheme="minorHAnsi"/>
                <w:b w:val="0"/>
              </w:rPr>
            </w:pPr>
            <w:r w:rsidRPr="00D54510">
              <w:rPr>
                <w:rFonts w:cstheme="minorHAnsi"/>
                <w:b w:val="0"/>
              </w:rPr>
              <w:t>Program</w:t>
            </w:r>
          </w:p>
        </w:tc>
        <w:tc>
          <w:tcPr>
            <w:tcW w:w="6401" w:type="dxa"/>
          </w:tcPr>
          <w:p w:rsidR="004600CC" w:rsidRPr="00D54510" w:rsidRDefault="004600CC" w:rsidP="0046341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3600" w:type="dxa"/>
          </w:tcPr>
          <w:p w:rsidR="004600CC" w:rsidRPr="00D54510" w:rsidRDefault="004600CC"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r>
      <w:tr w:rsidR="004600CC" w:rsidRPr="00D54510" w:rsidTr="0046341E">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97" w:type="dxa"/>
          </w:tcPr>
          <w:p w:rsidR="004600CC" w:rsidRPr="00D54510" w:rsidRDefault="004600CC" w:rsidP="002D5655">
            <w:pPr>
              <w:jc w:val="left"/>
              <w:rPr>
                <w:rFonts w:cstheme="minorHAnsi"/>
                <w:b w:val="0"/>
                <w:sz w:val="20"/>
                <w:szCs w:val="20"/>
              </w:rPr>
            </w:pPr>
            <w:r w:rsidRPr="00D54510">
              <w:rPr>
                <w:rFonts w:cstheme="minorHAnsi"/>
                <w:b w:val="0"/>
                <w:sz w:val="20"/>
                <w:szCs w:val="20"/>
              </w:rPr>
              <w:t>Criminal Justice</w:t>
            </w:r>
          </w:p>
        </w:tc>
        <w:tc>
          <w:tcPr>
            <w:tcW w:w="6401" w:type="dxa"/>
          </w:tcPr>
          <w:p w:rsidR="004600CC" w:rsidRPr="00D54510" w:rsidRDefault="004600CC" w:rsidP="004600CC">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Upon completion of the catalog year, Criminal Justice will assess the number of gr</w:t>
            </w:r>
            <w:r w:rsidR="0046341E" w:rsidRPr="00D54510">
              <w:rPr>
                <w:rFonts w:cstheme="minorHAnsi"/>
                <w:sz w:val="20"/>
                <w:szCs w:val="20"/>
              </w:rPr>
              <w:t>ad</w:t>
            </w:r>
            <w:r w:rsidRPr="00D54510">
              <w:rPr>
                <w:rFonts w:cstheme="minorHAnsi"/>
                <w:sz w:val="20"/>
                <w:szCs w:val="20"/>
              </w:rPr>
              <w:t xml:space="preserve">uates and transfer students. </w:t>
            </w:r>
          </w:p>
        </w:tc>
        <w:tc>
          <w:tcPr>
            <w:tcW w:w="3600" w:type="dxa"/>
          </w:tcPr>
          <w:p w:rsidR="004600CC" w:rsidRPr="00D54510" w:rsidRDefault="004600CC" w:rsidP="0046341E">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D54510">
              <w:rPr>
                <w:rFonts w:cstheme="minorHAnsi"/>
                <w:sz w:val="20"/>
                <w:szCs w:val="20"/>
              </w:rPr>
              <w:t>Costs associated with study abroad and transfer day</w:t>
            </w:r>
          </w:p>
        </w:tc>
      </w:tr>
      <w:tr w:rsidR="004600CC" w:rsidRPr="00D54510" w:rsidTr="004600CC">
        <w:trPr>
          <w:trHeight w:val="745"/>
        </w:trPr>
        <w:tc>
          <w:tcPr>
            <w:cnfStyle w:val="001000000000" w:firstRow="0" w:lastRow="0" w:firstColumn="1" w:lastColumn="0" w:oddVBand="0" w:evenVBand="0" w:oddHBand="0" w:evenHBand="0" w:firstRowFirstColumn="0" w:firstRowLastColumn="0" w:lastRowFirstColumn="0" w:lastRowLastColumn="0"/>
            <w:tcW w:w="997" w:type="dxa"/>
          </w:tcPr>
          <w:p w:rsidR="004600CC" w:rsidRPr="00D54510" w:rsidRDefault="004600CC" w:rsidP="002D5655">
            <w:pPr>
              <w:jc w:val="left"/>
              <w:rPr>
                <w:rFonts w:cstheme="minorHAnsi"/>
                <w:b w:val="0"/>
                <w:sz w:val="20"/>
                <w:szCs w:val="20"/>
              </w:rPr>
            </w:pPr>
            <w:r w:rsidRPr="00D54510">
              <w:rPr>
                <w:rFonts w:cstheme="minorHAnsi"/>
                <w:b w:val="0"/>
                <w:sz w:val="20"/>
                <w:szCs w:val="20"/>
              </w:rPr>
              <w:t>Criminal Justice</w:t>
            </w:r>
          </w:p>
        </w:tc>
        <w:tc>
          <w:tcPr>
            <w:tcW w:w="6401" w:type="dxa"/>
          </w:tcPr>
          <w:p w:rsidR="004600CC" w:rsidRPr="00D54510" w:rsidRDefault="004600CC" w:rsidP="002D565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10">
              <w:rPr>
                <w:rFonts w:cstheme="minorHAnsi"/>
                <w:sz w:val="20"/>
                <w:szCs w:val="20"/>
              </w:rPr>
              <w:t>Upon completion of the development of online courses, students will enroll and complete selected courses and receive TCLEOSE credit (AC Strategic Plan through 2015: Strategy 2.2; Task 2.2.2).</w:t>
            </w:r>
          </w:p>
        </w:tc>
        <w:tc>
          <w:tcPr>
            <w:tcW w:w="3600" w:type="dxa"/>
          </w:tcPr>
          <w:p w:rsidR="004600CC" w:rsidRPr="00D54510" w:rsidRDefault="004600CC" w:rsidP="002D565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10">
              <w:rPr>
                <w:rFonts w:cstheme="minorHAnsi"/>
                <w:sz w:val="20"/>
                <w:szCs w:val="20"/>
              </w:rPr>
              <w:t>Stipends for Master Shell Courses.</w:t>
            </w:r>
          </w:p>
        </w:tc>
      </w:tr>
      <w:tr w:rsidR="004600CC" w:rsidRPr="00D54510" w:rsidTr="004600CC">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997" w:type="dxa"/>
          </w:tcPr>
          <w:p w:rsidR="004600CC" w:rsidRPr="00D54510" w:rsidRDefault="004600CC" w:rsidP="002D5655">
            <w:pPr>
              <w:jc w:val="left"/>
              <w:rPr>
                <w:rFonts w:cstheme="minorHAnsi"/>
                <w:b w:val="0"/>
                <w:sz w:val="20"/>
                <w:szCs w:val="20"/>
              </w:rPr>
            </w:pPr>
            <w:r w:rsidRPr="00D54510">
              <w:rPr>
                <w:rFonts w:cstheme="minorHAnsi"/>
                <w:b w:val="0"/>
                <w:sz w:val="20"/>
                <w:szCs w:val="20"/>
              </w:rPr>
              <w:t>Criminal Justice</w:t>
            </w:r>
          </w:p>
        </w:tc>
        <w:tc>
          <w:tcPr>
            <w:tcW w:w="6401" w:type="dxa"/>
          </w:tcPr>
          <w:p w:rsidR="004600CC" w:rsidRPr="00D54510" w:rsidRDefault="004600CC" w:rsidP="004600CC">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Upon completion of the catalog year, Criminal Justice faculty and staff will agree on career advice and course registration based on particular career clusters and pathways (AC Strategic Plan through 2015: Strategy 1.2; Task 1.2.1).</w:t>
            </w:r>
          </w:p>
        </w:tc>
        <w:tc>
          <w:tcPr>
            <w:tcW w:w="3600" w:type="dxa"/>
          </w:tcPr>
          <w:p w:rsidR="004600CC" w:rsidRPr="00D54510" w:rsidRDefault="004600CC" w:rsidP="004600CC">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Possibly $1,500 per semester to teach an additional course added to inventory.</w:t>
            </w:r>
          </w:p>
          <w:p w:rsidR="004600CC" w:rsidRPr="00D54510" w:rsidRDefault="004600CC" w:rsidP="002D565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rsidR="004600CC" w:rsidRDefault="004600CC" w:rsidP="00F32C05">
      <w:pPr>
        <w:jc w:val="left"/>
        <w:rPr>
          <w:rFonts w:cstheme="minorHAnsi"/>
          <w:u w:val="single"/>
        </w:rPr>
      </w:pPr>
    </w:p>
    <w:p w:rsidR="00E600EA" w:rsidRDefault="00E600EA" w:rsidP="00F32C05">
      <w:pPr>
        <w:jc w:val="left"/>
        <w:rPr>
          <w:rFonts w:cstheme="minorHAnsi"/>
          <w:u w:val="single"/>
        </w:rPr>
      </w:pPr>
    </w:p>
    <w:p w:rsidR="00E600EA" w:rsidRDefault="00E600EA" w:rsidP="00F32C05">
      <w:pPr>
        <w:jc w:val="left"/>
        <w:rPr>
          <w:rFonts w:cstheme="minorHAnsi"/>
          <w:u w:val="single"/>
        </w:rPr>
      </w:pPr>
    </w:p>
    <w:p w:rsidR="00E600EA" w:rsidRPr="00D54510" w:rsidRDefault="00E600EA" w:rsidP="00F32C05">
      <w:pPr>
        <w:jc w:val="left"/>
        <w:rPr>
          <w:rFonts w:cstheme="minorHAnsi"/>
          <w:u w:val="single"/>
        </w:rPr>
      </w:pPr>
    </w:p>
    <w:tbl>
      <w:tblPr>
        <w:tblStyle w:val="LightList-Accent1"/>
        <w:tblW w:w="10998" w:type="dxa"/>
        <w:tblLook w:val="04A0" w:firstRow="1" w:lastRow="0" w:firstColumn="1" w:lastColumn="0" w:noHBand="0" w:noVBand="1"/>
      </w:tblPr>
      <w:tblGrid>
        <w:gridCol w:w="997"/>
        <w:gridCol w:w="5141"/>
        <w:gridCol w:w="4860"/>
      </w:tblGrid>
      <w:tr w:rsidR="004600CC" w:rsidRPr="00D54510" w:rsidTr="00CA6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dxa"/>
          </w:tcPr>
          <w:p w:rsidR="004600CC" w:rsidRPr="00D54510" w:rsidRDefault="004600CC" w:rsidP="002D5655">
            <w:pPr>
              <w:jc w:val="left"/>
              <w:rPr>
                <w:rFonts w:cstheme="minorHAnsi"/>
                <w:b w:val="0"/>
              </w:rPr>
            </w:pPr>
            <w:r w:rsidRPr="00D54510">
              <w:rPr>
                <w:rFonts w:cstheme="minorHAnsi"/>
                <w:b w:val="0"/>
              </w:rPr>
              <w:lastRenderedPageBreak/>
              <w:t>Program</w:t>
            </w:r>
          </w:p>
        </w:tc>
        <w:tc>
          <w:tcPr>
            <w:tcW w:w="5141" w:type="dxa"/>
          </w:tcPr>
          <w:p w:rsidR="004600CC" w:rsidRPr="00D54510" w:rsidRDefault="004600CC" w:rsidP="0046341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4860" w:type="dxa"/>
          </w:tcPr>
          <w:p w:rsidR="004600CC" w:rsidRPr="00D54510" w:rsidRDefault="004600CC"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(Requests/Needs</w:t>
            </w:r>
            <w:r w:rsidR="00CA61E5" w:rsidRPr="00D54510">
              <w:rPr>
                <w:rFonts w:cstheme="minorHAnsi"/>
                <w:b w:val="0"/>
              </w:rPr>
              <w:t xml:space="preserve"> and Information Linked to Budget</w:t>
            </w:r>
            <w:r w:rsidRPr="00D54510">
              <w:rPr>
                <w:rFonts w:cstheme="minorHAnsi"/>
                <w:b w:val="0"/>
              </w:rPr>
              <w:t>)</w:t>
            </w:r>
          </w:p>
        </w:tc>
      </w:tr>
      <w:tr w:rsidR="004600CC" w:rsidRPr="00D54510" w:rsidTr="00CA61E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97" w:type="dxa"/>
          </w:tcPr>
          <w:p w:rsidR="004600CC" w:rsidRPr="00D54510" w:rsidRDefault="004600CC" w:rsidP="002D5655">
            <w:pPr>
              <w:jc w:val="left"/>
              <w:rPr>
                <w:rFonts w:cstheme="minorHAnsi"/>
                <w:b w:val="0"/>
                <w:sz w:val="20"/>
                <w:szCs w:val="20"/>
              </w:rPr>
            </w:pPr>
            <w:r w:rsidRPr="00D54510">
              <w:rPr>
                <w:rFonts w:cstheme="minorHAnsi"/>
                <w:b w:val="0"/>
                <w:sz w:val="20"/>
                <w:szCs w:val="20"/>
              </w:rPr>
              <w:t>Dental Assisting</w:t>
            </w:r>
          </w:p>
        </w:tc>
        <w:tc>
          <w:tcPr>
            <w:tcW w:w="5141" w:type="dxa"/>
          </w:tcPr>
          <w:p w:rsidR="004600CC" w:rsidRPr="00D54510" w:rsidRDefault="004600CC" w:rsidP="0046341E">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 xml:space="preserve">After successful completion of ALL DNTA courses with emphasis on DNTA 1266 Practicum, the student will prove by 80% expertise in </w:t>
            </w:r>
            <w:proofErr w:type="spellStart"/>
            <w:r w:rsidRPr="00D54510">
              <w:rPr>
                <w:rFonts w:cstheme="minorHAnsi"/>
                <w:sz w:val="20"/>
                <w:szCs w:val="20"/>
              </w:rPr>
              <w:t>chairside</w:t>
            </w:r>
            <w:proofErr w:type="spellEnd"/>
            <w:r w:rsidRPr="00D54510">
              <w:rPr>
                <w:rFonts w:cstheme="minorHAnsi"/>
                <w:sz w:val="20"/>
                <w:szCs w:val="20"/>
              </w:rPr>
              <w:t xml:space="preserve"> assisting as determined by a </w:t>
            </w:r>
            <w:proofErr w:type="spellStart"/>
            <w:r w:rsidRPr="00D54510">
              <w:rPr>
                <w:rFonts w:cstheme="minorHAnsi"/>
                <w:sz w:val="20"/>
                <w:szCs w:val="20"/>
              </w:rPr>
              <w:t>qualitive</w:t>
            </w:r>
            <w:proofErr w:type="spellEnd"/>
            <w:r w:rsidRPr="00D54510">
              <w:rPr>
                <w:rFonts w:cstheme="minorHAnsi"/>
                <w:sz w:val="20"/>
                <w:szCs w:val="20"/>
              </w:rPr>
              <w:t xml:space="preserve"> assessment provided by the affiliated dentist and staff</w:t>
            </w:r>
          </w:p>
        </w:tc>
        <w:tc>
          <w:tcPr>
            <w:tcW w:w="4860" w:type="dxa"/>
          </w:tcPr>
          <w:p w:rsidR="004600CC" w:rsidRPr="00D54510" w:rsidRDefault="00CA61E5" w:rsidP="00CA61E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 xml:space="preserve">If the participating dentists will provide the necessary supplies for the care they will do, there will be no budget to contend with. Also, no additional </w:t>
            </w:r>
            <w:proofErr w:type="gramStart"/>
            <w:r w:rsidRPr="00D54510">
              <w:rPr>
                <w:rFonts w:cstheme="minorHAnsi"/>
                <w:sz w:val="20"/>
                <w:szCs w:val="20"/>
              </w:rPr>
              <w:t>costs to the school is</w:t>
            </w:r>
            <w:proofErr w:type="gramEnd"/>
            <w:r w:rsidRPr="00D54510">
              <w:rPr>
                <w:rFonts w:cstheme="minorHAnsi"/>
                <w:sz w:val="20"/>
                <w:szCs w:val="20"/>
              </w:rPr>
              <w:t xml:space="preserve"> anticipated at this time. The basic supplies will be out of the usual dental assisting supply budget.</w:t>
            </w:r>
          </w:p>
        </w:tc>
      </w:tr>
    </w:tbl>
    <w:p w:rsidR="004600CC" w:rsidRPr="00D54510" w:rsidRDefault="004600CC" w:rsidP="00F32C05">
      <w:pPr>
        <w:jc w:val="left"/>
        <w:rPr>
          <w:rFonts w:cstheme="minorHAnsi"/>
          <w:u w:val="single"/>
        </w:rPr>
      </w:pPr>
    </w:p>
    <w:tbl>
      <w:tblPr>
        <w:tblStyle w:val="LightList-Accent1"/>
        <w:tblW w:w="10998" w:type="dxa"/>
        <w:tblLook w:val="04A0" w:firstRow="1" w:lastRow="0" w:firstColumn="1" w:lastColumn="0" w:noHBand="0" w:noVBand="1"/>
      </w:tblPr>
      <w:tblGrid>
        <w:gridCol w:w="997"/>
        <w:gridCol w:w="4241"/>
        <w:gridCol w:w="5760"/>
      </w:tblGrid>
      <w:tr w:rsidR="00D54510" w:rsidRPr="00D54510" w:rsidTr="00CA6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dxa"/>
          </w:tcPr>
          <w:p w:rsidR="00CA61E5" w:rsidRPr="00D54510" w:rsidRDefault="00CA61E5" w:rsidP="002D5655">
            <w:pPr>
              <w:jc w:val="left"/>
              <w:rPr>
                <w:rFonts w:cstheme="minorHAnsi"/>
                <w:b w:val="0"/>
              </w:rPr>
            </w:pPr>
            <w:r w:rsidRPr="00D54510">
              <w:rPr>
                <w:rFonts w:cstheme="minorHAnsi"/>
                <w:b w:val="0"/>
              </w:rPr>
              <w:t>Program</w:t>
            </w:r>
          </w:p>
        </w:tc>
        <w:tc>
          <w:tcPr>
            <w:tcW w:w="4241" w:type="dxa"/>
          </w:tcPr>
          <w:p w:rsidR="00CA61E5" w:rsidRPr="00D54510" w:rsidRDefault="00CA61E5" w:rsidP="0046341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5760" w:type="dxa"/>
          </w:tcPr>
          <w:p w:rsidR="00CA61E5" w:rsidRPr="00D54510" w:rsidRDefault="00CA61E5" w:rsidP="0046341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 Information Linked to Budget</w:t>
            </w:r>
          </w:p>
        </w:tc>
      </w:tr>
      <w:tr w:rsidR="00CA61E5" w:rsidRPr="00D54510" w:rsidTr="00CA61E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97" w:type="dxa"/>
          </w:tcPr>
          <w:p w:rsidR="00CA61E5" w:rsidRPr="00D54510" w:rsidRDefault="00CA61E5" w:rsidP="002D5655">
            <w:pPr>
              <w:jc w:val="left"/>
              <w:rPr>
                <w:rFonts w:cstheme="minorHAnsi"/>
                <w:b w:val="0"/>
                <w:sz w:val="20"/>
                <w:szCs w:val="20"/>
              </w:rPr>
            </w:pPr>
            <w:r w:rsidRPr="00D54510">
              <w:rPr>
                <w:rFonts w:cstheme="minorHAnsi"/>
                <w:b w:val="0"/>
                <w:sz w:val="20"/>
                <w:szCs w:val="20"/>
              </w:rPr>
              <w:t>Drafting</w:t>
            </w:r>
          </w:p>
        </w:tc>
        <w:tc>
          <w:tcPr>
            <w:tcW w:w="4241" w:type="dxa"/>
          </w:tcPr>
          <w:p w:rsidR="00CA61E5" w:rsidRPr="00D54510" w:rsidRDefault="00CA61E5" w:rsidP="00CA61E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Student will learn Drafting Fundamentals</w:t>
            </w:r>
          </w:p>
          <w:p w:rsidR="00CA61E5" w:rsidRPr="00D54510" w:rsidRDefault="00CA61E5" w:rsidP="002D5655">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760" w:type="dxa"/>
          </w:tcPr>
          <w:p w:rsidR="00CA61E5" w:rsidRPr="00D54510" w:rsidRDefault="00CA61E5" w:rsidP="00CA61E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(Program is still compiling data regarding costs to improve the training labs; improve student knowledge of software usage; improve student contact/lab time/software exposure)</w:t>
            </w:r>
          </w:p>
        </w:tc>
      </w:tr>
    </w:tbl>
    <w:p w:rsidR="0031642E" w:rsidRPr="00D54510" w:rsidRDefault="0031642E" w:rsidP="00F32C05">
      <w:pPr>
        <w:jc w:val="left"/>
        <w:rPr>
          <w:rFonts w:cstheme="minorHAnsi"/>
          <w:u w:val="single"/>
        </w:rPr>
      </w:pPr>
    </w:p>
    <w:tbl>
      <w:tblPr>
        <w:tblStyle w:val="LightList-Accent1"/>
        <w:tblW w:w="10998" w:type="dxa"/>
        <w:tblLook w:val="04A0" w:firstRow="1" w:lastRow="0" w:firstColumn="1" w:lastColumn="0" w:noHBand="0" w:noVBand="1"/>
      </w:tblPr>
      <w:tblGrid>
        <w:gridCol w:w="997"/>
        <w:gridCol w:w="4871"/>
        <w:gridCol w:w="5130"/>
      </w:tblGrid>
      <w:tr w:rsidR="009A0318" w:rsidRPr="00D54510" w:rsidTr="00E600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dxa"/>
          </w:tcPr>
          <w:p w:rsidR="00CA61E5" w:rsidRPr="00D54510" w:rsidRDefault="00CA61E5" w:rsidP="002D5655">
            <w:pPr>
              <w:jc w:val="left"/>
              <w:rPr>
                <w:rFonts w:cstheme="minorHAnsi"/>
                <w:b w:val="0"/>
              </w:rPr>
            </w:pPr>
            <w:r w:rsidRPr="00D54510">
              <w:rPr>
                <w:rFonts w:cstheme="minorHAnsi"/>
                <w:b w:val="0"/>
              </w:rPr>
              <w:t>Program</w:t>
            </w:r>
          </w:p>
        </w:tc>
        <w:tc>
          <w:tcPr>
            <w:tcW w:w="4871" w:type="dxa"/>
          </w:tcPr>
          <w:p w:rsidR="00CA61E5" w:rsidRPr="00D54510" w:rsidRDefault="00CA61E5" w:rsidP="0046341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5130" w:type="dxa"/>
          </w:tcPr>
          <w:p w:rsidR="00CA61E5" w:rsidRPr="00D54510" w:rsidRDefault="00CA61E5"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sidR="00E600EA">
              <w:rPr>
                <w:rFonts w:cstheme="minorHAnsi"/>
                <w:b w:val="0"/>
              </w:rPr>
              <w:t xml:space="preserve">Past </w:t>
            </w:r>
            <w:r w:rsidRPr="00D54510">
              <w:rPr>
                <w:rFonts w:cstheme="minorHAnsi"/>
                <w:b w:val="0"/>
              </w:rPr>
              <w:t>Budget</w:t>
            </w:r>
          </w:p>
        </w:tc>
      </w:tr>
      <w:tr w:rsidR="00CA61E5" w:rsidRPr="00D54510" w:rsidTr="00E600EA">
        <w:trPr>
          <w:cnfStyle w:val="000000100000" w:firstRow="0" w:lastRow="0" w:firstColumn="0" w:lastColumn="0" w:oddVBand="0" w:evenVBand="0" w:oddHBand="1" w:evenHBand="0" w:firstRowFirstColumn="0" w:firstRowLastColumn="0" w:lastRowFirstColumn="0" w:lastRowLastColumn="0"/>
          <w:trHeight w:val="1942"/>
        </w:trPr>
        <w:tc>
          <w:tcPr>
            <w:cnfStyle w:val="001000000000" w:firstRow="0" w:lastRow="0" w:firstColumn="1" w:lastColumn="0" w:oddVBand="0" w:evenVBand="0" w:oddHBand="0" w:evenHBand="0" w:firstRowFirstColumn="0" w:firstRowLastColumn="0" w:lastRowFirstColumn="0" w:lastRowLastColumn="0"/>
            <w:tcW w:w="997" w:type="dxa"/>
          </w:tcPr>
          <w:p w:rsidR="00CA61E5" w:rsidRPr="00D54510" w:rsidRDefault="00CA61E5" w:rsidP="002D5655">
            <w:pPr>
              <w:jc w:val="left"/>
              <w:rPr>
                <w:rFonts w:cstheme="minorHAnsi"/>
                <w:b w:val="0"/>
                <w:sz w:val="20"/>
                <w:szCs w:val="20"/>
              </w:rPr>
            </w:pPr>
            <w:r w:rsidRPr="00D54510">
              <w:rPr>
                <w:rFonts w:cstheme="minorHAnsi"/>
                <w:b w:val="0"/>
                <w:sz w:val="20"/>
                <w:szCs w:val="20"/>
              </w:rPr>
              <w:t>Honors Program</w:t>
            </w:r>
          </w:p>
        </w:tc>
        <w:tc>
          <w:tcPr>
            <w:tcW w:w="4871" w:type="dxa"/>
          </w:tcPr>
          <w:p w:rsidR="00CA61E5" w:rsidRPr="00D54510" w:rsidRDefault="00CA61E5" w:rsidP="002D5655">
            <w:pPr>
              <w:pStyle w:val="No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Expand the existing Honors Program of 30 students to 100 annually.</w:t>
            </w:r>
          </w:p>
        </w:tc>
        <w:tc>
          <w:tcPr>
            <w:tcW w:w="5130" w:type="dxa"/>
          </w:tcPr>
          <w:p w:rsidR="00CA61E5" w:rsidRPr="00D54510" w:rsidRDefault="00CA61E5" w:rsidP="00CA61E5">
            <w:pPr>
              <w:pStyle w:val="ListParagraph"/>
              <w:numPr>
                <w:ilvl w:val="0"/>
                <w:numId w:val="3"/>
              </w:num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D54510">
              <w:rPr>
                <w:rFonts w:cstheme="minorHAnsi"/>
                <w:sz w:val="20"/>
                <w:szCs w:val="20"/>
              </w:rPr>
              <w:t xml:space="preserve">The proposed budget expanded from $14,700 in 2010-2011 to $89,387 in 2011-20-12. </w:t>
            </w:r>
          </w:p>
          <w:p w:rsidR="00CA61E5" w:rsidRPr="00D54510" w:rsidRDefault="00CA61E5" w:rsidP="00CA61E5">
            <w:pPr>
              <w:pStyle w:val="ListParagraph"/>
              <w:numPr>
                <w:ilvl w:val="0"/>
                <w:numId w:val="3"/>
              </w:num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D54510">
              <w:rPr>
                <w:rFonts w:cstheme="minorHAnsi"/>
                <w:sz w:val="20"/>
                <w:szCs w:val="20"/>
              </w:rPr>
              <w:t>$1,400: enrichment activities for  Tier Two Honors Program students – picnic, mailing, honors cookie break, class sets of course text books</w:t>
            </w:r>
          </w:p>
          <w:p w:rsidR="00CA61E5" w:rsidRPr="00D54510" w:rsidRDefault="00CA61E5" w:rsidP="002D5655">
            <w:pPr>
              <w:pStyle w:val="ListParagraph"/>
              <w:numPr>
                <w:ilvl w:val="0"/>
                <w:numId w:val="3"/>
              </w:num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D54510">
              <w:rPr>
                <w:rFonts w:cstheme="minorHAnsi"/>
                <w:sz w:val="20"/>
                <w:szCs w:val="20"/>
              </w:rPr>
              <w:t xml:space="preserve">$87987: faculty salary, student help, supplies, travel, student driven activities for the Presidential Scholar program (Tier one). </w:t>
            </w:r>
          </w:p>
        </w:tc>
      </w:tr>
    </w:tbl>
    <w:p w:rsidR="0046341E" w:rsidRPr="00D54510" w:rsidRDefault="0046341E" w:rsidP="00F32C05">
      <w:pPr>
        <w:jc w:val="left"/>
        <w:rPr>
          <w:rFonts w:cstheme="minorHAnsi"/>
          <w:u w:val="single"/>
        </w:rPr>
      </w:pPr>
    </w:p>
    <w:tbl>
      <w:tblPr>
        <w:tblStyle w:val="LightList-Accent1"/>
        <w:tblW w:w="10998" w:type="dxa"/>
        <w:tblLook w:val="04A0" w:firstRow="1" w:lastRow="0" w:firstColumn="1" w:lastColumn="0" w:noHBand="0" w:noVBand="1"/>
      </w:tblPr>
      <w:tblGrid>
        <w:gridCol w:w="1178"/>
        <w:gridCol w:w="4171"/>
        <w:gridCol w:w="5649"/>
      </w:tblGrid>
      <w:tr w:rsidR="0046341E" w:rsidRPr="00D54510" w:rsidTr="002D56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dxa"/>
          </w:tcPr>
          <w:p w:rsidR="0046341E" w:rsidRPr="00D54510" w:rsidRDefault="0046341E" w:rsidP="002D5655">
            <w:pPr>
              <w:jc w:val="left"/>
              <w:rPr>
                <w:rFonts w:cstheme="minorHAnsi"/>
                <w:b w:val="0"/>
              </w:rPr>
            </w:pPr>
            <w:r w:rsidRPr="00D54510">
              <w:rPr>
                <w:rFonts w:cstheme="minorHAnsi"/>
                <w:b w:val="0"/>
              </w:rPr>
              <w:t>Program</w:t>
            </w:r>
          </w:p>
        </w:tc>
        <w:tc>
          <w:tcPr>
            <w:tcW w:w="4241" w:type="dxa"/>
          </w:tcPr>
          <w:p w:rsidR="0046341E" w:rsidRPr="00D54510" w:rsidRDefault="0046341E" w:rsidP="0046341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5760" w:type="dxa"/>
          </w:tcPr>
          <w:p w:rsidR="0046341E" w:rsidRPr="00D54510" w:rsidRDefault="0046341E"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 Budget</w:t>
            </w:r>
          </w:p>
        </w:tc>
      </w:tr>
      <w:tr w:rsidR="0046341E" w:rsidRPr="00D54510" w:rsidTr="009A0318">
        <w:trPr>
          <w:cnfStyle w:val="000000100000" w:firstRow="0" w:lastRow="0" w:firstColumn="0" w:lastColumn="0" w:oddVBand="0" w:evenVBand="0" w:oddHBand="1" w:evenHBand="0" w:firstRowFirstColumn="0" w:firstRowLastColumn="0" w:lastRowFirstColumn="0" w:lastRowLastColumn="0"/>
          <w:trHeight w:val="1690"/>
        </w:trPr>
        <w:tc>
          <w:tcPr>
            <w:cnfStyle w:val="001000000000" w:firstRow="0" w:lastRow="0" w:firstColumn="1" w:lastColumn="0" w:oddVBand="0" w:evenVBand="0" w:oddHBand="0" w:evenHBand="0" w:firstRowFirstColumn="0" w:firstRowLastColumn="0" w:lastRowFirstColumn="0" w:lastRowLastColumn="0"/>
            <w:tcW w:w="997" w:type="dxa"/>
          </w:tcPr>
          <w:p w:rsidR="0046341E" w:rsidRPr="00D54510" w:rsidRDefault="0046341E" w:rsidP="002D5655">
            <w:pPr>
              <w:jc w:val="left"/>
              <w:rPr>
                <w:rFonts w:cstheme="minorHAnsi"/>
                <w:b w:val="0"/>
                <w:sz w:val="20"/>
                <w:szCs w:val="20"/>
              </w:rPr>
            </w:pPr>
            <w:r w:rsidRPr="00D54510">
              <w:rPr>
                <w:rFonts w:cstheme="minorHAnsi"/>
                <w:b w:val="0"/>
                <w:sz w:val="20"/>
                <w:szCs w:val="20"/>
              </w:rPr>
              <w:t>Math and Engineering</w:t>
            </w:r>
          </w:p>
        </w:tc>
        <w:tc>
          <w:tcPr>
            <w:tcW w:w="4241" w:type="dxa"/>
          </w:tcPr>
          <w:p w:rsidR="0046341E" w:rsidRPr="00D54510" w:rsidRDefault="0046341E" w:rsidP="0046341E">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D54510">
              <w:rPr>
                <w:rFonts w:cstheme="minorHAnsi"/>
                <w:noProof/>
                <w:sz w:val="20"/>
                <w:szCs w:val="20"/>
              </w:rPr>
              <w:t xml:space="preserve"> Upon successful completion of MATH 0302 (Beginning Algebra) with a grade of A-C at least 60% of developmental students will score a minimum of 63 on the Accuplacer Test which is the required score for students who place directly into the next course MATH 0303 (Intermediate Algebra).</w:t>
            </w:r>
          </w:p>
        </w:tc>
        <w:tc>
          <w:tcPr>
            <w:tcW w:w="5760" w:type="dxa"/>
          </w:tcPr>
          <w:p w:rsidR="0046341E" w:rsidRPr="00D54510" w:rsidRDefault="0046341E" w:rsidP="0046341E">
            <w:pPr>
              <w:spacing w:after="200"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D54510">
              <w:rPr>
                <w:rFonts w:cstheme="minorHAnsi"/>
                <w:sz w:val="20"/>
                <w:szCs w:val="20"/>
              </w:rPr>
              <w:t xml:space="preserve">This does not affect our budget as the fee for the </w:t>
            </w:r>
            <w:proofErr w:type="spellStart"/>
            <w:r w:rsidRPr="00D54510">
              <w:rPr>
                <w:rFonts w:cstheme="minorHAnsi"/>
                <w:sz w:val="20"/>
                <w:szCs w:val="20"/>
              </w:rPr>
              <w:t>Accuplacer</w:t>
            </w:r>
            <w:proofErr w:type="spellEnd"/>
            <w:r w:rsidRPr="00D54510">
              <w:rPr>
                <w:rFonts w:cstheme="minorHAnsi"/>
                <w:sz w:val="20"/>
                <w:szCs w:val="20"/>
              </w:rPr>
              <w:t xml:space="preserve"> test is included in the student’s fees. </w:t>
            </w:r>
          </w:p>
          <w:p w:rsidR="0046341E" w:rsidRPr="00D54510" w:rsidRDefault="0046341E" w:rsidP="0046341E">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p>
        </w:tc>
      </w:tr>
    </w:tbl>
    <w:p w:rsidR="0046341E" w:rsidRPr="00D54510" w:rsidRDefault="0046341E" w:rsidP="00F32C05">
      <w:pPr>
        <w:jc w:val="left"/>
        <w:rPr>
          <w:rFonts w:cstheme="minorHAnsi"/>
          <w:u w:val="single"/>
        </w:rPr>
      </w:pPr>
    </w:p>
    <w:tbl>
      <w:tblPr>
        <w:tblStyle w:val="LightList-Accent1"/>
        <w:tblW w:w="10998" w:type="dxa"/>
        <w:tblLook w:val="04A0" w:firstRow="1" w:lastRow="0" w:firstColumn="1" w:lastColumn="0" w:noHBand="0" w:noVBand="1"/>
      </w:tblPr>
      <w:tblGrid>
        <w:gridCol w:w="1290"/>
        <w:gridCol w:w="4218"/>
        <w:gridCol w:w="90"/>
        <w:gridCol w:w="90"/>
        <w:gridCol w:w="5310"/>
      </w:tblGrid>
      <w:tr w:rsidR="00E600EA" w:rsidRPr="00D54510" w:rsidTr="00E600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tcPr>
          <w:p w:rsidR="00E600EA" w:rsidRPr="00D54510" w:rsidRDefault="00E600EA" w:rsidP="002D5655">
            <w:pPr>
              <w:jc w:val="left"/>
              <w:rPr>
                <w:rFonts w:cstheme="minorHAnsi"/>
                <w:b w:val="0"/>
              </w:rPr>
            </w:pPr>
            <w:r w:rsidRPr="00D54510">
              <w:rPr>
                <w:rFonts w:cstheme="minorHAnsi"/>
                <w:b w:val="0"/>
              </w:rPr>
              <w:t>Program</w:t>
            </w:r>
          </w:p>
        </w:tc>
        <w:tc>
          <w:tcPr>
            <w:tcW w:w="4218" w:type="dxa"/>
          </w:tcPr>
          <w:p w:rsidR="00E600EA" w:rsidRPr="00D54510" w:rsidRDefault="00E600EA"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5490" w:type="dxa"/>
            <w:gridSpan w:val="3"/>
          </w:tcPr>
          <w:p w:rsidR="00E600EA" w:rsidRPr="00D54510" w:rsidRDefault="00E600EA"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r>
      <w:tr w:rsidR="00E600EA" w:rsidRPr="00D54510" w:rsidTr="00E600EA">
        <w:trPr>
          <w:cnfStyle w:val="000000100000" w:firstRow="0" w:lastRow="0" w:firstColumn="0" w:lastColumn="0" w:oddVBand="0" w:evenVBand="0" w:oddHBand="1"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290" w:type="dxa"/>
          </w:tcPr>
          <w:p w:rsidR="00E600EA" w:rsidRPr="00D54510" w:rsidRDefault="00E600EA" w:rsidP="002D5655">
            <w:pPr>
              <w:jc w:val="left"/>
              <w:rPr>
                <w:rFonts w:cstheme="minorHAnsi"/>
                <w:b w:val="0"/>
                <w:sz w:val="20"/>
                <w:szCs w:val="20"/>
              </w:rPr>
            </w:pPr>
            <w:r w:rsidRPr="00D54510">
              <w:rPr>
                <w:rFonts w:cstheme="minorHAnsi"/>
                <w:b w:val="0"/>
                <w:sz w:val="20"/>
                <w:szCs w:val="20"/>
              </w:rPr>
              <w:t>Occupational Therapy</w:t>
            </w:r>
          </w:p>
        </w:tc>
        <w:tc>
          <w:tcPr>
            <w:tcW w:w="4308" w:type="dxa"/>
            <w:gridSpan w:val="2"/>
          </w:tcPr>
          <w:p w:rsidR="00E600EA" w:rsidRPr="00D54510" w:rsidRDefault="00E600EA" w:rsidP="0031642E">
            <w:pPr>
              <w:jc w:val="left"/>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54510">
              <w:rPr>
                <w:rFonts w:cstheme="minorHAnsi"/>
                <w:noProof/>
                <w:sz w:val="20"/>
                <w:szCs w:val="20"/>
              </w:rPr>
              <w:t xml:space="preserve"> </w:t>
            </w:r>
            <w:r w:rsidRPr="00D54510">
              <w:rPr>
                <w:rFonts w:cstheme="minorHAnsi"/>
                <w:sz w:val="20"/>
                <w:szCs w:val="20"/>
              </w:rPr>
              <w:t xml:space="preserve">Twenty or more potential OTA program enrollees will complete an </w:t>
            </w:r>
            <w:proofErr w:type="gramStart"/>
            <w:r w:rsidRPr="00D54510">
              <w:rPr>
                <w:rFonts w:cstheme="minorHAnsi"/>
                <w:sz w:val="20"/>
                <w:szCs w:val="20"/>
              </w:rPr>
              <w:t>online(</w:t>
            </w:r>
            <w:proofErr w:type="gramEnd"/>
            <w:r w:rsidRPr="00D54510">
              <w:rPr>
                <w:rFonts w:cstheme="minorHAnsi"/>
                <w:sz w:val="20"/>
                <w:szCs w:val="20"/>
              </w:rPr>
              <w:t>2011) application before the deadline as tracked by campus relations(2011) or the OTA program director(2010-2011).</w:t>
            </w:r>
          </w:p>
        </w:tc>
        <w:tc>
          <w:tcPr>
            <w:tcW w:w="5400" w:type="dxa"/>
            <w:gridSpan w:val="2"/>
          </w:tcPr>
          <w:p w:rsidR="00E600EA" w:rsidRPr="00D54510" w:rsidRDefault="00E600EA" w:rsidP="00E600EA">
            <w:pPr>
              <w:spacing w:after="200"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D54510">
              <w:rPr>
                <w:rFonts w:cstheme="minorHAnsi"/>
                <w:sz w:val="20"/>
                <w:szCs w:val="20"/>
              </w:rPr>
              <w:t xml:space="preserve">Online application less costly for college as application packets are not printed for those interested </w:t>
            </w:r>
          </w:p>
          <w:p w:rsidR="00E600EA" w:rsidRPr="00D54510" w:rsidRDefault="00E600EA" w:rsidP="00E10CA9">
            <w:pPr>
              <w:spacing w:after="200"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E600EA" w:rsidRPr="00D54510" w:rsidTr="00E600EA">
        <w:trPr>
          <w:trHeight w:val="1087"/>
        </w:trPr>
        <w:tc>
          <w:tcPr>
            <w:cnfStyle w:val="001000000000" w:firstRow="0" w:lastRow="0" w:firstColumn="1" w:lastColumn="0" w:oddVBand="0" w:evenVBand="0" w:oddHBand="0" w:evenHBand="0" w:firstRowFirstColumn="0" w:firstRowLastColumn="0" w:lastRowFirstColumn="0" w:lastRowLastColumn="0"/>
            <w:tcW w:w="1290" w:type="dxa"/>
          </w:tcPr>
          <w:p w:rsidR="00E600EA" w:rsidRPr="00D54510" w:rsidRDefault="00E600EA" w:rsidP="002D5655">
            <w:pPr>
              <w:jc w:val="left"/>
              <w:rPr>
                <w:rFonts w:cstheme="minorHAnsi"/>
                <w:b w:val="0"/>
                <w:sz w:val="20"/>
                <w:szCs w:val="20"/>
              </w:rPr>
            </w:pPr>
            <w:r w:rsidRPr="00D54510">
              <w:rPr>
                <w:rFonts w:cstheme="minorHAnsi"/>
                <w:b w:val="0"/>
                <w:sz w:val="20"/>
                <w:szCs w:val="20"/>
              </w:rPr>
              <w:t>Occupational Therapy</w:t>
            </w:r>
          </w:p>
        </w:tc>
        <w:tc>
          <w:tcPr>
            <w:tcW w:w="4308" w:type="dxa"/>
            <w:gridSpan w:val="2"/>
          </w:tcPr>
          <w:p w:rsidR="00E600EA" w:rsidRPr="00D54510" w:rsidRDefault="00E600EA" w:rsidP="0046341E">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10">
              <w:rPr>
                <w:rFonts w:cstheme="minorHAnsi"/>
                <w:sz w:val="20"/>
                <w:szCs w:val="20"/>
              </w:rPr>
              <w:t>Ninety percent of OTA students initially enrolled in a fall cohort will progress through the program successfully completing each semester to the following fall as determined by headcount.</w:t>
            </w:r>
          </w:p>
        </w:tc>
        <w:tc>
          <w:tcPr>
            <w:tcW w:w="5400" w:type="dxa"/>
            <w:gridSpan w:val="2"/>
          </w:tcPr>
          <w:p w:rsidR="00E600EA" w:rsidRPr="00D54510" w:rsidRDefault="00E600EA" w:rsidP="00E10CA9">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10">
              <w:rPr>
                <w:rFonts w:cstheme="minorHAnsi"/>
                <w:sz w:val="20"/>
                <w:szCs w:val="20"/>
              </w:rPr>
              <w:t>No full time faculty at present due to hiring freeze. Replace adjunct faculty with full time faculty. Salary of approximately $50,000.</w:t>
            </w:r>
          </w:p>
        </w:tc>
      </w:tr>
      <w:tr w:rsidR="00E600EA" w:rsidRPr="00D54510" w:rsidTr="00E600EA">
        <w:trPr>
          <w:cnfStyle w:val="000000100000" w:firstRow="0" w:lastRow="0" w:firstColumn="0" w:lastColumn="0" w:oddVBand="0" w:evenVBand="0" w:oddHBand="1" w:evenHBand="0" w:firstRowFirstColumn="0" w:firstRowLastColumn="0" w:lastRowFirstColumn="0" w:lastRowLastColumn="0"/>
          <w:trHeight w:val="1195"/>
        </w:trPr>
        <w:tc>
          <w:tcPr>
            <w:cnfStyle w:val="001000000000" w:firstRow="0" w:lastRow="0" w:firstColumn="1" w:lastColumn="0" w:oddVBand="0" w:evenVBand="0" w:oddHBand="0" w:evenHBand="0" w:firstRowFirstColumn="0" w:firstRowLastColumn="0" w:lastRowFirstColumn="0" w:lastRowLastColumn="0"/>
            <w:tcW w:w="1290" w:type="dxa"/>
          </w:tcPr>
          <w:p w:rsidR="00E600EA" w:rsidRPr="00D54510" w:rsidRDefault="00E600EA" w:rsidP="002D5655">
            <w:pPr>
              <w:jc w:val="left"/>
              <w:rPr>
                <w:rFonts w:cstheme="minorHAnsi"/>
                <w:b w:val="0"/>
                <w:sz w:val="20"/>
                <w:szCs w:val="20"/>
              </w:rPr>
            </w:pPr>
            <w:r w:rsidRPr="00D54510">
              <w:rPr>
                <w:rFonts w:cstheme="minorHAnsi"/>
                <w:b w:val="0"/>
                <w:sz w:val="20"/>
                <w:szCs w:val="20"/>
              </w:rPr>
              <w:t>Occupational Therapy</w:t>
            </w:r>
          </w:p>
        </w:tc>
        <w:tc>
          <w:tcPr>
            <w:tcW w:w="4398" w:type="dxa"/>
            <w:gridSpan w:val="3"/>
          </w:tcPr>
          <w:p w:rsidR="00E600EA" w:rsidRPr="00D54510" w:rsidRDefault="00E600EA" w:rsidP="00E10CA9">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Seventy percent of OTA students graduating from AC’s OTA program over a rolling three year period will pass the NBCOT certification exam on first attempt as determined by NBCOT result reports.</w:t>
            </w:r>
          </w:p>
        </w:tc>
        <w:tc>
          <w:tcPr>
            <w:tcW w:w="5310" w:type="dxa"/>
          </w:tcPr>
          <w:p w:rsidR="00E600EA" w:rsidRPr="00D54510" w:rsidRDefault="00E600EA" w:rsidP="00E10CA9">
            <w:pPr>
              <w:spacing w:after="200"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Cost to have/keep computer lab operational</w:t>
            </w:r>
          </w:p>
        </w:tc>
      </w:tr>
    </w:tbl>
    <w:p w:rsidR="00886270" w:rsidRDefault="00886270" w:rsidP="00F32C05">
      <w:pPr>
        <w:jc w:val="left"/>
        <w:rPr>
          <w:rFonts w:cstheme="minorHAnsi"/>
          <w:u w:val="single"/>
        </w:rPr>
      </w:pPr>
    </w:p>
    <w:p w:rsidR="00E600EA" w:rsidRDefault="00E600EA" w:rsidP="00F32C05">
      <w:pPr>
        <w:jc w:val="left"/>
        <w:rPr>
          <w:rFonts w:cstheme="minorHAnsi"/>
          <w:u w:val="single"/>
        </w:rPr>
      </w:pPr>
    </w:p>
    <w:p w:rsidR="00E600EA" w:rsidRDefault="00E600EA" w:rsidP="00F32C05">
      <w:pPr>
        <w:jc w:val="left"/>
        <w:rPr>
          <w:rFonts w:cstheme="minorHAnsi"/>
          <w:u w:val="single"/>
        </w:rPr>
      </w:pPr>
    </w:p>
    <w:p w:rsidR="00E600EA" w:rsidRPr="00D54510" w:rsidRDefault="00E600EA" w:rsidP="00F32C05">
      <w:pPr>
        <w:jc w:val="left"/>
        <w:rPr>
          <w:rFonts w:cstheme="minorHAnsi"/>
          <w:u w:val="single"/>
        </w:rPr>
      </w:pPr>
    </w:p>
    <w:tbl>
      <w:tblPr>
        <w:tblStyle w:val="LightList-Accent1"/>
        <w:tblW w:w="11016" w:type="dxa"/>
        <w:tblLook w:val="04A0" w:firstRow="1" w:lastRow="0" w:firstColumn="1" w:lastColumn="0" w:noHBand="0" w:noVBand="1"/>
      </w:tblPr>
      <w:tblGrid>
        <w:gridCol w:w="1290"/>
        <w:gridCol w:w="4128"/>
        <w:gridCol w:w="2880"/>
        <w:gridCol w:w="2718"/>
      </w:tblGrid>
      <w:tr w:rsidR="00886270" w:rsidRPr="00D54510" w:rsidTr="00D5451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90" w:type="dxa"/>
          </w:tcPr>
          <w:p w:rsidR="00886270" w:rsidRPr="00D54510" w:rsidRDefault="00886270" w:rsidP="002D5655">
            <w:pPr>
              <w:jc w:val="left"/>
              <w:rPr>
                <w:rFonts w:cstheme="minorHAnsi"/>
                <w:b w:val="0"/>
              </w:rPr>
            </w:pPr>
            <w:r w:rsidRPr="00D54510">
              <w:rPr>
                <w:rFonts w:cstheme="minorHAnsi"/>
                <w:b w:val="0"/>
              </w:rPr>
              <w:lastRenderedPageBreak/>
              <w:t>Program</w:t>
            </w:r>
          </w:p>
        </w:tc>
        <w:tc>
          <w:tcPr>
            <w:tcW w:w="4128" w:type="dxa"/>
          </w:tcPr>
          <w:p w:rsidR="00886270" w:rsidRPr="00D54510" w:rsidRDefault="00886270"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2880" w:type="dxa"/>
          </w:tcPr>
          <w:p w:rsidR="00886270" w:rsidRPr="00D54510" w:rsidRDefault="00886270"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c>
          <w:tcPr>
            <w:tcW w:w="2718" w:type="dxa"/>
          </w:tcPr>
          <w:p w:rsidR="00886270" w:rsidRPr="00D54510" w:rsidRDefault="00886270"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sidR="00E600EA">
              <w:rPr>
                <w:rFonts w:cstheme="minorHAnsi"/>
                <w:b w:val="0"/>
              </w:rPr>
              <w:t xml:space="preserve">Past </w:t>
            </w:r>
            <w:r w:rsidRPr="00D54510">
              <w:rPr>
                <w:rFonts w:cstheme="minorHAnsi"/>
                <w:b w:val="0"/>
              </w:rPr>
              <w:t>Budget</w:t>
            </w:r>
          </w:p>
        </w:tc>
      </w:tr>
      <w:tr w:rsidR="00886270" w:rsidRPr="00D54510" w:rsidTr="00D54510">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290" w:type="dxa"/>
          </w:tcPr>
          <w:p w:rsidR="00886270" w:rsidRPr="00D54510" w:rsidRDefault="00886270" w:rsidP="002D5655">
            <w:pPr>
              <w:jc w:val="left"/>
              <w:rPr>
                <w:rFonts w:cstheme="minorHAnsi"/>
                <w:b w:val="0"/>
                <w:sz w:val="20"/>
                <w:szCs w:val="20"/>
              </w:rPr>
            </w:pPr>
            <w:r w:rsidRPr="00D54510">
              <w:rPr>
                <w:rFonts w:cstheme="minorHAnsi"/>
                <w:b w:val="0"/>
                <w:sz w:val="20"/>
                <w:szCs w:val="20"/>
              </w:rPr>
              <w:t>Reading</w:t>
            </w:r>
          </w:p>
        </w:tc>
        <w:tc>
          <w:tcPr>
            <w:tcW w:w="4128" w:type="dxa"/>
          </w:tcPr>
          <w:p w:rsidR="00886270" w:rsidRPr="00D54510" w:rsidRDefault="00886270" w:rsidP="002D5655">
            <w:pPr>
              <w:ind w:left="-3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During the semester 10% of students enrolled will test out of Reading as measured by a state-approved test.  (Added Fall 2009)</w:t>
            </w:r>
          </w:p>
        </w:tc>
        <w:tc>
          <w:tcPr>
            <w:tcW w:w="2880" w:type="dxa"/>
          </w:tcPr>
          <w:p w:rsidR="00886270" w:rsidRPr="00D54510" w:rsidRDefault="00886270" w:rsidP="002D5655">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The Reading Program will request $435 for testing fees for the 2012-2013 Academic Year.  (15 THEA tests @ $29 each)</w:t>
            </w:r>
          </w:p>
        </w:tc>
        <w:tc>
          <w:tcPr>
            <w:tcW w:w="2718" w:type="dxa"/>
          </w:tcPr>
          <w:p w:rsidR="00886270" w:rsidRPr="00D54510" w:rsidRDefault="00886270" w:rsidP="002D5655">
            <w:pPr>
              <w:spacing w:after="200"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p>
        </w:tc>
      </w:tr>
      <w:tr w:rsidR="00886270" w:rsidRPr="00D54510" w:rsidTr="00D54510">
        <w:trPr>
          <w:trHeight w:val="1150"/>
        </w:trPr>
        <w:tc>
          <w:tcPr>
            <w:cnfStyle w:val="001000000000" w:firstRow="0" w:lastRow="0" w:firstColumn="1" w:lastColumn="0" w:oddVBand="0" w:evenVBand="0" w:oddHBand="0" w:evenHBand="0" w:firstRowFirstColumn="0" w:firstRowLastColumn="0" w:lastRowFirstColumn="0" w:lastRowLastColumn="0"/>
            <w:tcW w:w="1290" w:type="dxa"/>
          </w:tcPr>
          <w:p w:rsidR="00886270" w:rsidRPr="00D54510" w:rsidRDefault="00886270" w:rsidP="002D5655">
            <w:pPr>
              <w:jc w:val="left"/>
              <w:rPr>
                <w:rFonts w:cstheme="minorHAnsi"/>
                <w:b w:val="0"/>
                <w:sz w:val="20"/>
                <w:szCs w:val="20"/>
              </w:rPr>
            </w:pPr>
            <w:r w:rsidRPr="00D54510">
              <w:rPr>
                <w:rFonts w:cstheme="minorHAnsi"/>
                <w:b w:val="0"/>
                <w:sz w:val="20"/>
                <w:szCs w:val="20"/>
              </w:rPr>
              <w:t>Reading</w:t>
            </w:r>
          </w:p>
        </w:tc>
        <w:tc>
          <w:tcPr>
            <w:tcW w:w="4128" w:type="dxa"/>
          </w:tcPr>
          <w:p w:rsidR="00886270" w:rsidRPr="00D54510" w:rsidRDefault="00886270" w:rsidP="002D565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10">
              <w:rPr>
                <w:rFonts w:cstheme="minorHAnsi"/>
                <w:sz w:val="20"/>
                <w:szCs w:val="20"/>
              </w:rPr>
              <w:t>Upon completion of the Pre-Test assessment, 5% of those pretested will advance into a higher reading level  than previously placed by the state-approved assessment, in order to progress through Reading at a faster rate.  Of those students who advanced, 50% will pass the higher level with an A-C.  (Revised 10/11)</w:t>
            </w:r>
          </w:p>
        </w:tc>
        <w:tc>
          <w:tcPr>
            <w:tcW w:w="2880" w:type="dxa"/>
          </w:tcPr>
          <w:p w:rsidR="00886270" w:rsidRPr="00D54510" w:rsidRDefault="00886270" w:rsidP="002D565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D54510">
              <w:rPr>
                <w:rFonts w:cstheme="minorHAnsi"/>
                <w:sz w:val="20"/>
                <w:szCs w:val="20"/>
              </w:rPr>
              <w:t>The Reading Program will request an additional $1200 in the 2012-2013 Budget to cover the time needed for 9-month staff to compile and analyze data in the summer.</w:t>
            </w:r>
          </w:p>
          <w:p w:rsidR="00886270" w:rsidRPr="00D54510" w:rsidRDefault="00886270" w:rsidP="002D5655">
            <w:pPr>
              <w:spacing w:after="200" w:line="276" w:lineRule="auto"/>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718" w:type="dxa"/>
          </w:tcPr>
          <w:p w:rsidR="00886270" w:rsidRPr="00D54510" w:rsidRDefault="00886270" w:rsidP="002D565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10">
              <w:rPr>
                <w:rFonts w:cstheme="minorHAnsi"/>
                <w:sz w:val="20"/>
                <w:szCs w:val="20"/>
              </w:rPr>
              <w:t>$1200 in additional funds was provided from the Academic Success Division’s contingency funds.  This allowed for additional staff time in the summer to compile and analyze data.</w:t>
            </w:r>
          </w:p>
        </w:tc>
      </w:tr>
    </w:tbl>
    <w:p w:rsidR="00886270" w:rsidRPr="00D54510" w:rsidRDefault="00886270" w:rsidP="00F32C05">
      <w:pPr>
        <w:jc w:val="left"/>
        <w:rPr>
          <w:rFonts w:cstheme="minorHAnsi"/>
          <w:u w:val="single"/>
        </w:rPr>
      </w:pPr>
    </w:p>
    <w:tbl>
      <w:tblPr>
        <w:tblStyle w:val="LightList-Accent1"/>
        <w:tblW w:w="11016" w:type="dxa"/>
        <w:tblLook w:val="04A0" w:firstRow="1" w:lastRow="0" w:firstColumn="1" w:lastColumn="0" w:noHBand="0" w:noVBand="1"/>
      </w:tblPr>
      <w:tblGrid>
        <w:gridCol w:w="1290"/>
        <w:gridCol w:w="3948"/>
        <w:gridCol w:w="5778"/>
      </w:tblGrid>
      <w:tr w:rsidR="00886270" w:rsidRPr="00D54510" w:rsidTr="0088627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90" w:type="dxa"/>
          </w:tcPr>
          <w:p w:rsidR="00886270" w:rsidRPr="00D54510" w:rsidRDefault="00886270" w:rsidP="002D5655">
            <w:pPr>
              <w:jc w:val="left"/>
              <w:rPr>
                <w:rFonts w:cstheme="minorHAnsi"/>
                <w:b w:val="0"/>
              </w:rPr>
            </w:pPr>
            <w:r w:rsidRPr="00D54510">
              <w:rPr>
                <w:rFonts w:cstheme="minorHAnsi"/>
                <w:b w:val="0"/>
              </w:rPr>
              <w:t>Program</w:t>
            </w:r>
          </w:p>
        </w:tc>
        <w:tc>
          <w:tcPr>
            <w:tcW w:w="3948" w:type="dxa"/>
          </w:tcPr>
          <w:p w:rsidR="00886270" w:rsidRPr="00D54510" w:rsidRDefault="00886270"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5778" w:type="dxa"/>
          </w:tcPr>
          <w:p w:rsidR="00886270" w:rsidRPr="00D54510" w:rsidRDefault="00886270"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 Budget</w:t>
            </w:r>
          </w:p>
        </w:tc>
      </w:tr>
      <w:tr w:rsidR="00886270" w:rsidRPr="00D54510" w:rsidTr="00886270">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290" w:type="dxa"/>
          </w:tcPr>
          <w:p w:rsidR="00886270" w:rsidRPr="00D54510" w:rsidRDefault="00886270" w:rsidP="00886270">
            <w:pPr>
              <w:jc w:val="left"/>
              <w:rPr>
                <w:rFonts w:cstheme="minorHAnsi"/>
                <w:b w:val="0"/>
                <w:sz w:val="20"/>
                <w:szCs w:val="20"/>
              </w:rPr>
            </w:pPr>
            <w:proofErr w:type="spellStart"/>
            <w:r w:rsidRPr="00D54510">
              <w:rPr>
                <w:rFonts w:cstheme="minorHAnsi"/>
                <w:b w:val="0"/>
                <w:sz w:val="20"/>
                <w:szCs w:val="20"/>
              </w:rPr>
              <w:t>Autobody</w:t>
            </w:r>
            <w:proofErr w:type="spellEnd"/>
            <w:r w:rsidRPr="00D54510">
              <w:rPr>
                <w:rFonts w:cstheme="minorHAnsi"/>
                <w:b w:val="0"/>
                <w:sz w:val="20"/>
                <w:szCs w:val="20"/>
              </w:rPr>
              <w:t xml:space="preserve"> Collision Repair</w:t>
            </w:r>
          </w:p>
        </w:tc>
        <w:tc>
          <w:tcPr>
            <w:tcW w:w="3948" w:type="dxa"/>
          </w:tcPr>
          <w:p w:rsidR="00886270" w:rsidRPr="00D54510" w:rsidRDefault="00886270" w:rsidP="009A0318">
            <w:pPr>
              <w:ind w:left="-3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 xml:space="preserve">Upon completion of the Automotive Training Program students will qualify for employment in the </w:t>
            </w:r>
            <w:proofErr w:type="spellStart"/>
            <w:r w:rsidRPr="00D54510">
              <w:rPr>
                <w:rFonts w:cstheme="minorHAnsi"/>
                <w:sz w:val="20"/>
                <w:szCs w:val="20"/>
              </w:rPr>
              <w:t>Autobody</w:t>
            </w:r>
            <w:proofErr w:type="spellEnd"/>
            <w:r w:rsidRPr="00D54510">
              <w:rPr>
                <w:rFonts w:cstheme="minorHAnsi"/>
                <w:sz w:val="20"/>
                <w:szCs w:val="20"/>
              </w:rPr>
              <w:t xml:space="preserve"> Collision Industry</w:t>
            </w:r>
          </w:p>
        </w:tc>
        <w:tc>
          <w:tcPr>
            <w:tcW w:w="5778" w:type="dxa"/>
          </w:tcPr>
          <w:p w:rsidR="00886270" w:rsidRPr="00D54510" w:rsidRDefault="00886270" w:rsidP="009A0318">
            <w:pPr>
              <w:spacing w:after="200"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D54510">
              <w:rPr>
                <w:rFonts w:cstheme="minorHAnsi"/>
                <w:sz w:val="20"/>
                <w:szCs w:val="20"/>
              </w:rPr>
              <w:t>2011-12 Budget has increased and being used to improve the program.</w:t>
            </w:r>
          </w:p>
        </w:tc>
      </w:tr>
    </w:tbl>
    <w:p w:rsidR="009A0318" w:rsidRPr="00D54510" w:rsidRDefault="009A0318" w:rsidP="00F32C05">
      <w:pPr>
        <w:jc w:val="left"/>
        <w:rPr>
          <w:rFonts w:cstheme="minorHAnsi"/>
          <w:u w:val="single"/>
        </w:rPr>
      </w:pPr>
    </w:p>
    <w:tbl>
      <w:tblPr>
        <w:tblStyle w:val="LightList-Accent1"/>
        <w:tblW w:w="11016" w:type="dxa"/>
        <w:tblLook w:val="04A0" w:firstRow="1" w:lastRow="0" w:firstColumn="1" w:lastColumn="0" w:noHBand="0" w:noVBand="1"/>
      </w:tblPr>
      <w:tblGrid>
        <w:gridCol w:w="1290"/>
        <w:gridCol w:w="3948"/>
        <w:gridCol w:w="3060"/>
        <w:gridCol w:w="2718"/>
      </w:tblGrid>
      <w:tr w:rsidR="00886270" w:rsidRPr="00D54510" w:rsidTr="002D5655">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90" w:type="dxa"/>
          </w:tcPr>
          <w:p w:rsidR="00886270" w:rsidRPr="00D54510" w:rsidRDefault="00886270" w:rsidP="002D5655">
            <w:pPr>
              <w:jc w:val="left"/>
              <w:rPr>
                <w:rFonts w:cstheme="minorHAnsi"/>
                <w:b w:val="0"/>
              </w:rPr>
            </w:pPr>
            <w:r w:rsidRPr="00D54510">
              <w:rPr>
                <w:rFonts w:cstheme="minorHAnsi"/>
                <w:b w:val="0"/>
              </w:rPr>
              <w:t>Program</w:t>
            </w:r>
          </w:p>
        </w:tc>
        <w:tc>
          <w:tcPr>
            <w:tcW w:w="3948" w:type="dxa"/>
          </w:tcPr>
          <w:p w:rsidR="00886270" w:rsidRPr="00D54510" w:rsidRDefault="00886270"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3060" w:type="dxa"/>
          </w:tcPr>
          <w:p w:rsidR="00886270" w:rsidRPr="00D54510" w:rsidRDefault="00886270"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c>
          <w:tcPr>
            <w:tcW w:w="2718" w:type="dxa"/>
          </w:tcPr>
          <w:p w:rsidR="00886270" w:rsidRPr="00D54510" w:rsidRDefault="00886270"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sidR="00E600EA">
              <w:rPr>
                <w:rFonts w:cstheme="minorHAnsi"/>
                <w:b w:val="0"/>
              </w:rPr>
              <w:t xml:space="preserve">Past </w:t>
            </w:r>
            <w:r w:rsidRPr="00D54510">
              <w:rPr>
                <w:rFonts w:cstheme="minorHAnsi"/>
                <w:b w:val="0"/>
              </w:rPr>
              <w:t>Budget</w:t>
            </w:r>
          </w:p>
        </w:tc>
      </w:tr>
      <w:tr w:rsidR="00886270" w:rsidRPr="00D54510" w:rsidTr="00886270">
        <w:trPr>
          <w:cnfStyle w:val="000000100000" w:firstRow="0" w:lastRow="0" w:firstColumn="0" w:lastColumn="0" w:oddVBand="0" w:evenVBand="0" w:oddHBand="1" w:evenHBand="0" w:firstRowFirstColumn="0" w:firstRowLastColumn="0" w:lastRowFirstColumn="0" w:lastRowLastColumn="0"/>
          <w:trHeight w:val="1942"/>
        </w:trPr>
        <w:tc>
          <w:tcPr>
            <w:cnfStyle w:val="001000000000" w:firstRow="0" w:lastRow="0" w:firstColumn="1" w:lastColumn="0" w:oddVBand="0" w:evenVBand="0" w:oddHBand="0" w:evenHBand="0" w:firstRowFirstColumn="0" w:firstRowLastColumn="0" w:lastRowFirstColumn="0" w:lastRowLastColumn="0"/>
            <w:tcW w:w="1290" w:type="dxa"/>
          </w:tcPr>
          <w:p w:rsidR="00886270" w:rsidRPr="00D54510" w:rsidRDefault="00886270" w:rsidP="002D5655">
            <w:pPr>
              <w:jc w:val="left"/>
              <w:rPr>
                <w:rFonts w:cstheme="minorHAnsi"/>
                <w:b w:val="0"/>
                <w:sz w:val="20"/>
                <w:szCs w:val="20"/>
              </w:rPr>
            </w:pPr>
            <w:r w:rsidRPr="00D54510">
              <w:rPr>
                <w:rFonts w:cstheme="minorHAnsi"/>
                <w:b w:val="0"/>
                <w:sz w:val="20"/>
                <w:szCs w:val="20"/>
              </w:rPr>
              <w:t>Automotive</w:t>
            </w:r>
          </w:p>
        </w:tc>
        <w:tc>
          <w:tcPr>
            <w:tcW w:w="3948" w:type="dxa"/>
          </w:tcPr>
          <w:p w:rsidR="00886270" w:rsidRPr="00D54510" w:rsidRDefault="00886270" w:rsidP="002D5655">
            <w:pPr>
              <w:ind w:left="-3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Upon completion of the Automotive Training Program students will qualify for employment in the Automotive Industry</w:t>
            </w:r>
          </w:p>
        </w:tc>
        <w:tc>
          <w:tcPr>
            <w:tcW w:w="3060" w:type="dxa"/>
          </w:tcPr>
          <w:p w:rsidR="00886270" w:rsidRPr="00D54510" w:rsidRDefault="00886270" w:rsidP="002D5655">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Additional monies requested to make improvements and updates to training equipment</w:t>
            </w:r>
          </w:p>
        </w:tc>
        <w:tc>
          <w:tcPr>
            <w:tcW w:w="2718" w:type="dxa"/>
          </w:tcPr>
          <w:p w:rsidR="00886270" w:rsidRPr="00D54510" w:rsidRDefault="00886270" w:rsidP="002D5655">
            <w:pPr>
              <w:spacing w:after="200"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D54510">
              <w:rPr>
                <w:rFonts w:cstheme="minorHAnsi"/>
                <w:sz w:val="20"/>
                <w:szCs w:val="20"/>
              </w:rPr>
              <w:t>New A-Tech Training equipment was purchased to achievable bringing the program up to date with industry needs. The equipment was purchased with Perkins Money.</w:t>
            </w:r>
            <w:r w:rsidRPr="00D54510">
              <w:rPr>
                <w:rFonts w:cstheme="minorHAnsi"/>
                <w:sz w:val="20"/>
                <w:szCs w:val="20"/>
              </w:rPr>
              <w:tab/>
            </w:r>
          </w:p>
        </w:tc>
      </w:tr>
    </w:tbl>
    <w:p w:rsidR="00886270" w:rsidRPr="00D54510" w:rsidRDefault="00886270" w:rsidP="00F32C05">
      <w:pPr>
        <w:jc w:val="left"/>
        <w:rPr>
          <w:rFonts w:cstheme="minorHAnsi"/>
        </w:rPr>
      </w:pPr>
    </w:p>
    <w:tbl>
      <w:tblPr>
        <w:tblStyle w:val="LightList-Accent1"/>
        <w:tblW w:w="10998" w:type="dxa"/>
        <w:tblLook w:val="04A0" w:firstRow="1" w:lastRow="0" w:firstColumn="1" w:lastColumn="0" w:noHBand="0" w:noVBand="1"/>
      </w:tblPr>
      <w:tblGrid>
        <w:gridCol w:w="1290"/>
        <w:gridCol w:w="3948"/>
        <w:gridCol w:w="5760"/>
      </w:tblGrid>
      <w:tr w:rsidR="00895EA8" w:rsidRPr="00D54510" w:rsidTr="00895EA8">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90" w:type="dxa"/>
          </w:tcPr>
          <w:p w:rsidR="00895EA8" w:rsidRPr="00D54510" w:rsidRDefault="00895EA8" w:rsidP="002D5655">
            <w:pPr>
              <w:jc w:val="left"/>
              <w:rPr>
                <w:rFonts w:cstheme="minorHAnsi"/>
                <w:b w:val="0"/>
              </w:rPr>
            </w:pPr>
            <w:r w:rsidRPr="00D54510">
              <w:rPr>
                <w:rFonts w:cstheme="minorHAnsi"/>
                <w:b w:val="0"/>
              </w:rPr>
              <w:t>Program</w:t>
            </w:r>
          </w:p>
        </w:tc>
        <w:tc>
          <w:tcPr>
            <w:tcW w:w="3948" w:type="dxa"/>
          </w:tcPr>
          <w:p w:rsidR="00895EA8" w:rsidRPr="00D54510" w:rsidRDefault="00895EA8"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5760" w:type="dxa"/>
          </w:tcPr>
          <w:p w:rsidR="00895EA8" w:rsidRPr="00D54510" w:rsidRDefault="00895EA8"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sidR="00E600EA">
              <w:rPr>
                <w:rFonts w:cstheme="minorHAnsi"/>
                <w:b w:val="0"/>
              </w:rPr>
              <w:t xml:space="preserve"> Past</w:t>
            </w:r>
            <w:r w:rsidRPr="00D54510">
              <w:rPr>
                <w:rFonts w:cstheme="minorHAnsi"/>
                <w:b w:val="0"/>
              </w:rPr>
              <w:t xml:space="preserve"> Budget</w:t>
            </w:r>
          </w:p>
        </w:tc>
      </w:tr>
      <w:tr w:rsidR="00895EA8" w:rsidRPr="00D54510" w:rsidTr="00F46BC6">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1290" w:type="dxa"/>
          </w:tcPr>
          <w:p w:rsidR="00895EA8" w:rsidRPr="00D54510" w:rsidRDefault="00895EA8" w:rsidP="002D5655">
            <w:pPr>
              <w:jc w:val="left"/>
              <w:rPr>
                <w:rFonts w:cstheme="minorHAnsi"/>
                <w:b w:val="0"/>
                <w:sz w:val="20"/>
                <w:szCs w:val="20"/>
              </w:rPr>
            </w:pPr>
            <w:r w:rsidRPr="00D54510">
              <w:rPr>
                <w:rFonts w:cstheme="minorHAnsi"/>
                <w:b w:val="0"/>
                <w:sz w:val="20"/>
                <w:szCs w:val="20"/>
              </w:rPr>
              <w:t>Diesel</w:t>
            </w:r>
          </w:p>
        </w:tc>
        <w:tc>
          <w:tcPr>
            <w:tcW w:w="3948" w:type="dxa"/>
          </w:tcPr>
          <w:p w:rsidR="00895EA8" w:rsidRPr="00D54510" w:rsidRDefault="00895EA8" w:rsidP="00895EA8">
            <w:pPr>
              <w:ind w:left="-3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 xml:space="preserve">Adequately prepare students with proficient skills and </w:t>
            </w:r>
            <w:proofErr w:type="gramStart"/>
            <w:r w:rsidRPr="00D54510">
              <w:rPr>
                <w:rFonts w:cstheme="minorHAnsi"/>
                <w:sz w:val="20"/>
                <w:szCs w:val="20"/>
              </w:rPr>
              <w:t>knowledge(</w:t>
            </w:r>
            <w:proofErr w:type="gramEnd"/>
            <w:r w:rsidRPr="00D54510">
              <w:rPr>
                <w:rFonts w:cstheme="minorHAnsi"/>
                <w:sz w:val="20"/>
                <w:szCs w:val="20"/>
              </w:rPr>
              <w:t>strategic plan through 2015: Strategy 1.4.1 and 1.5.3.)</w:t>
            </w:r>
          </w:p>
        </w:tc>
        <w:tc>
          <w:tcPr>
            <w:tcW w:w="5760" w:type="dxa"/>
          </w:tcPr>
          <w:p w:rsidR="00895EA8" w:rsidRPr="00D54510" w:rsidRDefault="00895EA8" w:rsidP="002D5655">
            <w:pPr>
              <w:spacing w:after="200"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New equipment purchased using Perkins, existing budget, and general shared division budget</w:t>
            </w:r>
          </w:p>
        </w:tc>
      </w:tr>
    </w:tbl>
    <w:p w:rsidR="00886270" w:rsidRPr="00D54510" w:rsidRDefault="00886270" w:rsidP="00F32C05">
      <w:pPr>
        <w:jc w:val="left"/>
        <w:rPr>
          <w:rFonts w:cstheme="minorHAnsi"/>
        </w:rPr>
      </w:pPr>
    </w:p>
    <w:tbl>
      <w:tblPr>
        <w:tblStyle w:val="LightList-Accent1"/>
        <w:tblW w:w="11016" w:type="dxa"/>
        <w:tblLook w:val="04A0" w:firstRow="1" w:lastRow="0" w:firstColumn="1" w:lastColumn="0" w:noHBand="0" w:noVBand="1"/>
      </w:tblPr>
      <w:tblGrid>
        <w:gridCol w:w="1290"/>
        <w:gridCol w:w="3948"/>
        <w:gridCol w:w="1813"/>
        <w:gridCol w:w="3965"/>
      </w:tblGrid>
      <w:tr w:rsidR="00A273D4" w:rsidRPr="00D54510" w:rsidTr="00A273D4">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90" w:type="dxa"/>
          </w:tcPr>
          <w:p w:rsidR="00A273D4" w:rsidRPr="00D54510" w:rsidRDefault="00A273D4" w:rsidP="002D5655">
            <w:pPr>
              <w:jc w:val="left"/>
              <w:rPr>
                <w:rFonts w:cstheme="minorHAnsi"/>
                <w:b w:val="0"/>
              </w:rPr>
            </w:pPr>
            <w:r w:rsidRPr="00D54510">
              <w:rPr>
                <w:rFonts w:cstheme="minorHAnsi"/>
                <w:b w:val="0"/>
              </w:rPr>
              <w:t>Program</w:t>
            </w:r>
          </w:p>
        </w:tc>
        <w:tc>
          <w:tcPr>
            <w:tcW w:w="3948" w:type="dxa"/>
          </w:tcPr>
          <w:p w:rsidR="00A273D4" w:rsidRPr="00D54510" w:rsidRDefault="00A273D4"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1813" w:type="dxa"/>
          </w:tcPr>
          <w:p w:rsidR="00A273D4" w:rsidRPr="00D54510" w:rsidRDefault="00A273D4"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c>
          <w:tcPr>
            <w:tcW w:w="3965" w:type="dxa"/>
          </w:tcPr>
          <w:p w:rsidR="00A273D4" w:rsidRPr="00D54510" w:rsidRDefault="00A273D4"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sidR="00E600EA">
              <w:rPr>
                <w:rFonts w:cstheme="minorHAnsi"/>
                <w:b w:val="0"/>
              </w:rPr>
              <w:t xml:space="preserve">Past </w:t>
            </w:r>
            <w:r w:rsidRPr="00D54510">
              <w:rPr>
                <w:rFonts w:cstheme="minorHAnsi"/>
                <w:b w:val="0"/>
              </w:rPr>
              <w:t>Budget</w:t>
            </w:r>
          </w:p>
        </w:tc>
      </w:tr>
      <w:tr w:rsidR="00A273D4" w:rsidRPr="00D54510" w:rsidTr="00A273D4">
        <w:trPr>
          <w:cnfStyle w:val="000000100000" w:firstRow="0" w:lastRow="0" w:firstColumn="0" w:lastColumn="0" w:oddVBand="0" w:evenVBand="0" w:oddHBand="1" w:evenHBand="0" w:firstRowFirstColumn="0" w:firstRowLastColumn="0" w:lastRowFirstColumn="0" w:lastRowLastColumn="0"/>
          <w:trHeight w:val="1942"/>
        </w:trPr>
        <w:tc>
          <w:tcPr>
            <w:cnfStyle w:val="001000000000" w:firstRow="0" w:lastRow="0" w:firstColumn="1" w:lastColumn="0" w:oddVBand="0" w:evenVBand="0" w:oddHBand="0" w:evenHBand="0" w:firstRowFirstColumn="0" w:firstRowLastColumn="0" w:lastRowFirstColumn="0" w:lastRowLastColumn="0"/>
            <w:tcW w:w="1290" w:type="dxa"/>
          </w:tcPr>
          <w:p w:rsidR="00A273D4" w:rsidRPr="00D54510" w:rsidRDefault="00A273D4" w:rsidP="002D5655">
            <w:pPr>
              <w:jc w:val="left"/>
              <w:rPr>
                <w:rFonts w:cstheme="minorHAnsi"/>
                <w:b w:val="0"/>
                <w:sz w:val="20"/>
                <w:szCs w:val="20"/>
              </w:rPr>
            </w:pPr>
            <w:r w:rsidRPr="00D54510">
              <w:rPr>
                <w:rFonts w:cstheme="minorHAnsi"/>
                <w:b w:val="0"/>
                <w:sz w:val="20"/>
                <w:szCs w:val="20"/>
              </w:rPr>
              <w:t>Humanities</w:t>
            </w:r>
          </w:p>
        </w:tc>
        <w:tc>
          <w:tcPr>
            <w:tcW w:w="3948" w:type="dxa"/>
          </w:tcPr>
          <w:p w:rsidR="00A273D4" w:rsidRPr="00D54510" w:rsidRDefault="00A273D4" w:rsidP="002D5655">
            <w:pPr>
              <w:ind w:left="-3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600EA">
              <w:rPr>
                <w:rFonts w:cstheme="minorHAnsi"/>
                <w:sz w:val="20"/>
                <w:szCs w:val="20"/>
              </w:rPr>
              <w:t>Adjust instruction and services based on assessment data. (</w:t>
            </w:r>
            <w:r w:rsidRPr="00D54510">
              <w:rPr>
                <w:rFonts w:cstheme="minorHAnsi"/>
                <w:sz w:val="20"/>
                <w:szCs w:val="20"/>
              </w:rPr>
              <w:t>AC Strategic Plan through 2015: Strategy 1.1)</w:t>
            </w:r>
          </w:p>
        </w:tc>
        <w:tc>
          <w:tcPr>
            <w:tcW w:w="1813" w:type="dxa"/>
          </w:tcPr>
          <w:p w:rsidR="00A273D4" w:rsidRPr="00D54510" w:rsidRDefault="00A273D4" w:rsidP="002D5655">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Increased budget expenses to accommodate hiring of another full-time instructor for Humanities.</w:t>
            </w:r>
          </w:p>
        </w:tc>
        <w:tc>
          <w:tcPr>
            <w:tcW w:w="3965" w:type="dxa"/>
          </w:tcPr>
          <w:p w:rsidR="00A273D4" w:rsidRPr="00D54510" w:rsidRDefault="00A273D4" w:rsidP="00A273D4">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 xml:space="preserve">Currently the Humanities budget allows for one full-time instructor/ Program coordinator. There are currently three adjunct instructors and two full-time instructors from other departments (theater and English) teaching for the Humanities program. </w:t>
            </w:r>
          </w:p>
          <w:p w:rsidR="00A273D4" w:rsidRPr="00D54510" w:rsidRDefault="00A273D4" w:rsidP="00A273D4">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D54510">
              <w:rPr>
                <w:rFonts w:cstheme="minorHAnsi"/>
                <w:sz w:val="20"/>
                <w:szCs w:val="20"/>
              </w:rPr>
              <w:t>The Philosophy section currently enlists four adjunct instructors.</w:t>
            </w:r>
          </w:p>
        </w:tc>
      </w:tr>
    </w:tbl>
    <w:p w:rsidR="00A273D4" w:rsidRDefault="00A273D4" w:rsidP="00F32C05">
      <w:pPr>
        <w:jc w:val="left"/>
        <w:rPr>
          <w:rFonts w:cstheme="minorHAnsi"/>
        </w:rPr>
      </w:pPr>
    </w:p>
    <w:p w:rsidR="00E600EA" w:rsidRPr="00D54510" w:rsidRDefault="00E600EA" w:rsidP="00F32C05">
      <w:pPr>
        <w:jc w:val="left"/>
        <w:rPr>
          <w:rFonts w:cstheme="minorHAnsi"/>
        </w:rPr>
      </w:pPr>
    </w:p>
    <w:tbl>
      <w:tblPr>
        <w:tblStyle w:val="LightList-Accent1"/>
        <w:tblW w:w="11016" w:type="dxa"/>
        <w:tblLook w:val="04A0" w:firstRow="1" w:lastRow="0" w:firstColumn="1" w:lastColumn="0" w:noHBand="0" w:noVBand="1"/>
      </w:tblPr>
      <w:tblGrid>
        <w:gridCol w:w="1422"/>
        <w:gridCol w:w="2826"/>
        <w:gridCol w:w="2871"/>
        <w:gridCol w:w="3897"/>
      </w:tblGrid>
      <w:tr w:rsidR="003D38A3" w:rsidRPr="00D54510" w:rsidTr="003D38A3">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22" w:type="dxa"/>
          </w:tcPr>
          <w:p w:rsidR="003D38A3" w:rsidRPr="00D54510" w:rsidRDefault="003D38A3" w:rsidP="002D5655">
            <w:pPr>
              <w:jc w:val="left"/>
              <w:rPr>
                <w:rFonts w:cstheme="minorHAnsi"/>
                <w:b w:val="0"/>
              </w:rPr>
            </w:pPr>
            <w:r w:rsidRPr="00D54510">
              <w:rPr>
                <w:rFonts w:cstheme="minorHAnsi"/>
                <w:b w:val="0"/>
              </w:rPr>
              <w:lastRenderedPageBreak/>
              <w:t>Program</w:t>
            </w:r>
          </w:p>
        </w:tc>
        <w:tc>
          <w:tcPr>
            <w:tcW w:w="2826" w:type="dxa"/>
          </w:tcPr>
          <w:p w:rsidR="003D38A3" w:rsidRPr="00D54510" w:rsidRDefault="003D38A3"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2871" w:type="dxa"/>
          </w:tcPr>
          <w:p w:rsidR="003D38A3" w:rsidRPr="00D54510" w:rsidRDefault="003D38A3"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c>
          <w:tcPr>
            <w:tcW w:w="3897" w:type="dxa"/>
          </w:tcPr>
          <w:p w:rsidR="003D38A3" w:rsidRPr="00D54510" w:rsidRDefault="003D38A3"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sidR="00E600EA">
              <w:rPr>
                <w:rFonts w:cstheme="minorHAnsi"/>
                <w:b w:val="0"/>
              </w:rPr>
              <w:t xml:space="preserve">Past </w:t>
            </w:r>
            <w:r w:rsidRPr="00D54510">
              <w:rPr>
                <w:rFonts w:cstheme="minorHAnsi"/>
                <w:b w:val="0"/>
              </w:rPr>
              <w:t>Budget</w:t>
            </w:r>
          </w:p>
        </w:tc>
      </w:tr>
      <w:tr w:rsidR="003D38A3" w:rsidRPr="00D54510" w:rsidTr="003D38A3">
        <w:trPr>
          <w:cnfStyle w:val="000000100000" w:firstRow="0" w:lastRow="0" w:firstColumn="0" w:lastColumn="0" w:oddVBand="0" w:evenVBand="0" w:oddHBand="1" w:evenHBand="0" w:firstRowFirstColumn="0" w:firstRowLastColumn="0" w:lastRowFirstColumn="0" w:lastRowLastColumn="0"/>
          <w:trHeight w:val="1942"/>
        </w:trPr>
        <w:tc>
          <w:tcPr>
            <w:cnfStyle w:val="001000000000" w:firstRow="0" w:lastRow="0" w:firstColumn="1" w:lastColumn="0" w:oddVBand="0" w:evenVBand="0" w:oddHBand="0" w:evenHBand="0" w:firstRowFirstColumn="0" w:firstRowLastColumn="0" w:lastRowFirstColumn="0" w:lastRowLastColumn="0"/>
            <w:tcW w:w="1422" w:type="dxa"/>
          </w:tcPr>
          <w:p w:rsidR="003D38A3" w:rsidRPr="00D54510" w:rsidRDefault="003D38A3" w:rsidP="002D5655">
            <w:pPr>
              <w:jc w:val="left"/>
              <w:rPr>
                <w:rFonts w:cstheme="minorHAnsi"/>
                <w:b w:val="0"/>
                <w:sz w:val="20"/>
                <w:szCs w:val="20"/>
              </w:rPr>
            </w:pPr>
            <w:r w:rsidRPr="00D54510">
              <w:rPr>
                <w:rFonts w:cstheme="minorHAnsi"/>
                <w:b w:val="0"/>
                <w:sz w:val="20"/>
                <w:szCs w:val="20"/>
              </w:rPr>
              <w:t>Manufacturing</w:t>
            </w:r>
          </w:p>
        </w:tc>
        <w:tc>
          <w:tcPr>
            <w:tcW w:w="2826" w:type="dxa"/>
          </w:tcPr>
          <w:p w:rsidR="003D38A3" w:rsidRPr="00D54510" w:rsidRDefault="003D38A3" w:rsidP="003D38A3">
            <w:pPr>
              <w:spacing w:after="10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Upon completion of a manufacturing program, the number of AC students that attain a credential, certificate, or degree will meet or exceed state standards based on the THECB data.</w:t>
            </w:r>
          </w:p>
          <w:p w:rsidR="003D38A3" w:rsidRPr="00D54510" w:rsidRDefault="003D38A3" w:rsidP="002D5655">
            <w:pPr>
              <w:ind w:left="-3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871" w:type="dxa"/>
          </w:tcPr>
          <w:p w:rsidR="003D38A3" w:rsidRPr="00D54510" w:rsidRDefault="003D38A3" w:rsidP="003D38A3">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 xml:space="preserve">Uncertainty about final construction plans prohibit prediction – survival requirements unforeseeable (programs will have to be salvaged through the upcoming construction without losing equipment or supplies. For programs to survive, a full year of work to re-install equipment necessary for bare operation of class projects is essential.) </w:t>
            </w:r>
          </w:p>
        </w:tc>
        <w:tc>
          <w:tcPr>
            <w:tcW w:w="3897" w:type="dxa"/>
          </w:tcPr>
          <w:p w:rsidR="003D38A3" w:rsidRPr="00D54510" w:rsidRDefault="003D38A3" w:rsidP="003D38A3">
            <w:pPr>
              <w:spacing w:after="10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 xml:space="preserve">Welding: Approval was given to hire a full time faculty member for the welding program; </w:t>
            </w:r>
          </w:p>
          <w:p w:rsidR="003D38A3" w:rsidRPr="00D54510" w:rsidRDefault="003D38A3" w:rsidP="003D38A3">
            <w:pPr>
              <w:spacing w:after="10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Machining: Equipment upgrades have been approved for CNC instruction. Funds are to come from an AEDC grant.</w:t>
            </w:r>
          </w:p>
          <w:p w:rsidR="003D38A3" w:rsidRPr="00D54510" w:rsidRDefault="003D38A3" w:rsidP="002D565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p>
        </w:tc>
      </w:tr>
    </w:tbl>
    <w:p w:rsidR="00F46BC6" w:rsidRPr="00D54510" w:rsidRDefault="00F46BC6" w:rsidP="00F32C05">
      <w:pPr>
        <w:jc w:val="left"/>
        <w:rPr>
          <w:rFonts w:cstheme="minorHAnsi"/>
        </w:rPr>
      </w:pPr>
    </w:p>
    <w:tbl>
      <w:tblPr>
        <w:tblStyle w:val="LightList-Accent1"/>
        <w:tblW w:w="10998" w:type="dxa"/>
        <w:tblLook w:val="04A0" w:firstRow="1" w:lastRow="0" w:firstColumn="1" w:lastColumn="0" w:noHBand="0" w:noVBand="1"/>
      </w:tblPr>
      <w:tblGrid>
        <w:gridCol w:w="1422"/>
        <w:gridCol w:w="4806"/>
        <w:gridCol w:w="4770"/>
      </w:tblGrid>
      <w:tr w:rsidR="00F46BC6" w:rsidRPr="00D54510" w:rsidTr="00F46BC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22" w:type="dxa"/>
          </w:tcPr>
          <w:p w:rsidR="00F46BC6" w:rsidRPr="00D54510" w:rsidRDefault="00F46BC6" w:rsidP="002D5655">
            <w:pPr>
              <w:jc w:val="left"/>
              <w:rPr>
                <w:rFonts w:cstheme="minorHAnsi"/>
                <w:b w:val="0"/>
              </w:rPr>
            </w:pPr>
            <w:r w:rsidRPr="00D54510">
              <w:rPr>
                <w:rFonts w:cstheme="minorHAnsi"/>
                <w:b w:val="0"/>
              </w:rPr>
              <w:t>Program</w:t>
            </w:r>
          </w:p>
        </w:tc>
        <w:tc>
          <w:tcPr>
            <w:tcW w:w="4806" w:type="dxa"/>
          </w:tcPr>
          <w:p w:rsidR="00F46BC6" w:rsidRPr="00D54510" w:rsidRDefault="00F46BC6"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4770" w:type="dxa"/>
          </w:tcPr>
          <w:p w:rsidR="00F46BC6" w:rsidRPr="00D54510" w:rsidRDefault="00F46BC6"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and Information Linked to Budget (Requests/Needs)</w:t>
            </w:r>
          </w:p>
        </w:tc>
      </w:tr>
      <w:tr w:rsidR="00F46BC6" w:rsidRPr="00D54510" w:rsidTr="00F46BC6">
        <w:trPr>
          <w:cnfStyle w:val="000000100000" w:firstRow="0" w:lastRow="0" w:firstColumn="0" w:lastColumn="0" w:oddVBand="0" w:evenVBand="0" w:oddHBand="1" w:evenHBand="0" w:firstRowFirstColumn="0" w:firstRowLastColumn="0" w:lastRowFirstColumn="0" w:lastRowLastColumn="0"/>
          <w:trHeight w:val="1312"/>
        </w:trPr>
        <w:tc>
          <w:tcPr>
            <w:cnfStyle w:val="001000000000" w:firstRow="0" w:lastRow="0" w:firstColumn="1" w:lastColumn="0" w:oddVBand="0" w:evenVBand="0" w:oddHBand="0" w:evenHBand="0" w:firstRowFirstColumn="0" w:firstRowLastColumn="0" w:lastRowFirstColumn="0" w:lastRowLastColumn="0"/>
            <w:tcW w:w="1422" w:type="dxa"/>
          </w:tcPr>
          <w:p w:rsidR="00F46BC6" w:rsidRPr="00D54510" w:rsidRDefault="00F46BC6" w:rsidP="00F46BC6">
            <w:pPr>
              <w:jc w:val="left"/>
              <w:rPr>
                <w:rFonts w:cstheme="minorHAnsi"/>
                <w:b w:val="0"/>
                <w:sz w:val="20"/>
                <w:szCs w:val="20"/>
              </w:rPr>
            </w:pPr>
            <w:r w:rsidRPr="00D54510">
              <w:rPr>
                <w:rFonts w:cstheme="minorHAnsi"/>
                <w:b w:val="0"/>
                <w:sz w:val="20"/>
                <w:szCs w:val="20"/>
              </w:rPr>
              <w:t>Physical Sciences</w:t>
            </w:r>
          </w:p>
        </w:tc>
        <w:tc>
          <w:tcPr>
            <w:tcW w:w="4806" w:type="dxa"/>
          </w:tcPr>
          <w:p w:rsidR="00F46BC6" w:rsidRPr="00D54510" w:rsidRDefault="00F46BC6" w:rsidP="00F46BC6">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 xml:space="preserve">Continue providing services for </w:t>
            </w:r>
            <w:proofErr w:type="spellStart"/>
            <w:r w:rsidRPr="00D54510">
              <w:rPr>
                <w:rFonts w:cstheme="minorHAnsi"/>
                <w:sz w:val="20"/>
                <w:szCs w:val="20"/>
              </w:rPr>
              <w:t>Pantex</w:t>
            </w:r>
            <w:proofErr w:type="spellEnd"/>
            <w:r w:rsidRPr="00D54510">
              <w:rPr>
                <w:rFonts w:cstheme="minorHAnsi"/>
                <w:sz w:val="20"/>
                <w:szCs w:val="20"/>
              </w:rPr>
              <w:t xml:space="preserve"> Technicians who wish to advance in rank by taking an exam administered by AC Faculty after several training/tutoring sessions with promotions generally offered to those who pass the exam with </w:t>
            </w:r>
            <w:proofErr w:type="gramStart"/>
            <w:r w:rsidRPr="00D54510">
              <w:rPr>
                <w:rFonts w:cstheme="minorHAnsi"/>
                <w:sz w:val="20"/>
                <w:szCs w:val="20"/>
              </w:rPr>
              <w:t>a</w:t>
            </w:r>
            <w:proofErr w:type="gramEnd"/>
            <w:r w:rsidRPr="00D54510">
              <w:rPr>
                <w:rFonts w:cstheme="minorHAnsi"/>
                <w:sz w:val="20"/>
                <w:szCs w:val="20"/>
              </w:rPr>
              <w:t xml:space="preserve"> 80% or better grade.</w:t>
            </w:r>
          </w:p>
          <w:p w:rsidR="00F46BC6" w:rsidRPr="00D54510" w:rsidRDefault="00F46BC6" w:rsidP="00F46BC6">
            <w:pPr>
              <w:ind w:left="-3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4770" w:type="dxa"/>
          </w:tcPr>
          <w:p w:rsidR="00F46BC6" w:rsidRPr="00D54510" w:rsidRDefault="00F46BC6" w:rsidP="002D5655">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D54510">
              <w:rPr>
                <w:rFonts w:cstheme="minorHAnsi"/>
                <w:sz w:val="20"/>
                <w:szCs w:val="20"/>
              </w:rPr>
              <w:t>Pantex</w:t>
            </w:r>
            <w:proofErr w:type="spellEnd"/>
            <w:r w:rsidRPr="00D54510">
              <w:rPr>
                <w:rFonts w:cstheme="minorHAnsi"/>
                <w:sz w:val="20"/>
                <w:szCs w:val="20"/>
              </w:rPr>
              <w:t xml:space="preserve"> pays for training and testing and AC pays faculty for their time.</w:t>
            </w:r>
          </w:p>
        </w:tc>
      </w:tr>
      <w:tr w:rsidR="00F46BC6" w:rsidRPr="00D54510" w:rsidTr="00F46BC6">
        <w:trPr>
          <w:trHeight w:val="1312"/>
        </w:trPr>
        <w:tc>
          <w:tcPr>
            <w:cnfStyle w:val="001000000000" w:firstRow="0" w:lastRow="0" w:firstColumn="1" w:lastColumn="0" w:oddVBand="0" w:evenVBand="0" w:oddHBand="0" w:evenHBand="0" w:firstRowFirstColumn="0" w:firstRowLastColumn="0" w:lastRowFirstColumn="0" w:lastRowLastColumn="0"/>
            <w:tcW w:w="1422" w:type="dxa"/>
          </w:tcPr>
          <w:p w:rsidR="00F46BC6" w:rsidRPr="00D54510" w:rsidRDefault="00F46BC6" w:rsidP="00F46BC6">
            <w:pPr>
              <w:jc w:val="left"/>
              <w:rPr>
                <w:rFonts w:cstheme="minorHAnsi"/>
                <w:b w:val="0"/>
                <w:sz w:val="20"/>
                <w:szCs w:val="20"/>
              </w:rPr>
            </w:pPr>
            <w:r w:rsidRPr="00D54510">
              <w:rPr>
                <w:rFonts w:cstheme="minorHAnsi"/>
                <w:b w:val="0"/>
                <w:sz w:val="20"/>
                <w:szCs w:val="20"/>
              </w:rPr>
              <w:t>Physical Sciences</w:t>
            </w:r>
          </w:p>
        </w:tc>
        <w:tc>
          <w:tcPr>
            <w:tcW w:w="4806" w:type="dxa"/>
          </w:tcPr>
          <w:p w:rsidR="00F46BC6" w:rsidRPr="00D54510" w:rsidRDefault="00F46BC6" w:rsidP="00F46BC6">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10">
              <w:rPr>
                <w:rFonts w:cstheme="minorHAnsi"/>
                <w:sz w:val="20"/>
                <w:szCs w:val="20"/>
              </w:rPr>
              <w:t>Maintain our existing relationship with Region XVI (as part of the Regional Collaborative for Excellence in Science and Mathematics Teaching) in offering Panhandle area ISD science teachers (Elementary through High School) an opportunity to improve their core understanding of science concepts, as evaluated by pre- and post-tests over the subjects, by offering a special course designed for existing teachers yearly (up to 108 hours training).</w:t>
            </w:r>
          </w:p>
          <w:p w:rsidR="00F46BC6" w:rsidRPr="00D54510" w:rsidRDefault="00F46BC6" w:rsidP="00F46BC6">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4770" w:type="dxa"/>
          </w:tcPr>
          <w:p w:rsidR="00F46BC6" w:rsidRPr="00D54510" w:rsidRDefault="00F46BC6" w:rsidP="002D5655">
            <w:pPr>
              <w:spacing w:line="276" w:lineRule="auto"/>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10">
              <w:rPr>
                <w:rFonts w:cstheme="minorHAnsi"/>
                <w:sz w:val="20"/>
                <w:szCs w:val="20"/>
              </w:rPr>
              <w:t>Contingent on grant through TEA as administered by Region XVI.  AC receives tuition and pays for overhead and salaries as normal.</w:t>
            </w:r>
          </w:p>
        </w:tc>
      </w:tr>
    </w:tbl>
    <w:p w:rsidR="00F46BC6" w:rsidRPr="00D54510" w:rsidRDefault="00F46BC6" w:rsidP="00F32C05">
      <w:pPr>
        <w:jc w:val="left"/>
        <w:rPr>
          <w:rFonts w:cstheme="minorHAnsi"/>
        </w:rPr>
      </w:pPr>
    </w:p>
    <w:tbl>
      <w:tblPr>
        <w:tblStyle w:val="LightList-Accent1"/>
        <w:tblW w:w="10998" w:type="dxa"/>
        <w:tblLook w:val="04A0" w:firstRow="1" w:lastRow="0" w:firstColumn="1" w:lastColumn="0" w:noHBand="0" w:noVBand="1"/>
      </w:tblPr>
      <w:tblGrid>
        <w:gridCol w:w="1422"/>
        <w:gridCol w:w="4176"/>
        <w:gridCol w:w="5400"/>
      </w:tblGrid>
      <w:tr w:rsidR="00F46BC6" w:rsidRPr="00D54510" w:rsidTr="00D5451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22" w:type="dxa"/>
          </w:tcPr>
          <w:p w:rsidR="00F46BC6" w:rsidRPr="00D54510" w:rsidRDefault="00F46BC6" w:rsidP="002D5655">
            <w:pPr>
              <w:jc w:val="left"/>
              <w:rPr>
                <w:rFonts w:cstheme="minorHAnsi"/>
                <w:b w:val="0"/>
              </w:rPr>
            </w:pPr>
            <w:r w:rsidRPr="00D54510">
              <w:rPr>
                <w:rFonts w:cstheme="minorHAnsi"/>
                <w:b w:val="0"/>
              </w:rPr>
              <w:t>Program</w:t>
            </w:r>
          </w:p>
        </w:tc>
        <w:tc>
          <w:tcPr>
            <w:tcW w:w="4176" w:type="dxa"/>
          </w:tcPr>
          <w:p w:rsidR="00F46BC6" w:rsidRPr="00D54510" w:rsidRDefault="00F46BC6"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5400" w:type="dxa"/>
          </w:tcPr>
          <w:p w:rsidR="00F46BC6" w:rsidRPr="00D54510" w:rsidRDefault="00F46BC6"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sidR="00841319">
              <w:rPr>
                <w:rFonts w:cstheme="minorHAnsi"/>
                <w:b w:val="0"/>
              </w:rPr>
              <w:t xml:space="preserve">Past </w:t>
            </w:r>
            <w:r w:rsidRPr="00D54510">
              <w:rPr>
                <w:rFonts w:cstheme="minorHAnsi"/>
                <w:b w:val="0"/>
              </w:rPr>
              <w:t>Budget (Requests/Needs)</w:t>
            </w:r>
          </w:p>
        </w:tc>
      </w:tr>
      <w:tr w:rsidR="00F46BC6" w:rsidRPr="00D54510" w:rsidTr="00D54510">
        <w:trPr>
          <w:cnfStyle w:val="000000100000" w:firstRow="0" w:lastRow="0" w:firstColumn="0" w:lastColumn="0" w:oddVBand="0" w:evenVBand="0" w:oddHBand="1" w:evenHBand="0" w:firstRowFirstColumn="0" w:firstRowLastColumn="0" w:lastRowFirstColumn="0" w:lastRowLastColumn="0"/>
          <w:trHeight w:val="1312"/>
        </w:trPr>
        <w:tc>
          <w:tcPr>
            <w:cnfStyle w:val="001000000000" w:firstRow="0" w:lastRow="0" w:firstColumn="1" w:lastColumn="0" w:oddVBand="0" w:evenVBand="0" w:oddHBand="0" w:evenHBand="0" w:firstRowFirstColumn="0" w:firstRowLastColumn="0" w:lastRowFirstColumn="0" w:lastRowLastColumn="0"/>
            <w:tcW w:w="1422" w:type="dxa"/>
          </w:tcPr>
          <w:p w:rsidR="00F46BC6" w:rsidRPr="00D54510" w:rsidRDefault="00F46BC6" w:rsidP="00F46BC6">
            <w:pPr>
              <w:jc w:val="left"/>
              <w:rPr>
                <w:rFonts w:cstheme="minorHAnsi"/>
                <w:b w:val="0"/>
                <w:sz w:val="20"/>
                <w:szCs w:val="20"/>
              </w:rPr>
            </w:pPr>
            <w:r w:rsidRPr="00D54510">
              <w:rPr>
                <w:rFonts w:cstheme="minorHAnsi"/>
                <w:b w:val="0"/>
                <w:sz w:val="20"/>
                <w:szCs w:val="20"/>
              </w:rPr>
              <w:t>Substance Abuse</w:t>
            </w:r>
          </w:p>
        </w:tc>
        <w:tc>
          <w:tcPr>
            <w:tcW w:w="4176" w:type="dxa"/>
          </w:tcPr>
          <w:p w:rsidR="00F46BC6" w:rsidRPr="00D54510" w:rsidRDefault="00F46BC6" w:rsidP="00F46BC6">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 xml:space="preserve">By the end of the 2010-2011 school </w:t>
            </w:r>
            <w:proofErr w:type="gramStart"/>
            <w:r w:rsidRPr="00D54510">
              <w:rPr>
                <w:rFonts w:cstheme="minorHAnsi"/>
                <w:sz w:val="20"/>
                <w:szCs w:val="20"/>
              </w:rPr>
              <w:t>year</w:t>
            </w:r>
            <w:proofErr w:type="gramEnd"/>
            <w:r w:rsidRPr="00D54510">
              <w:rPr>
                <w:rFonts w:cstheme="minorHAnsi"/>
                <w:sz w:val="20"/>
                <w:szCs w:val="20"/>
              </w:rPr>
              <w:t xml:space="preserve">, recruiting efforts at the local, state, national and international levels will result in a 10 to 20% increase over current levels of student participation in the Amarillo College Substance Abuse Program.  </w:t>
            </w:r>
          </w:p>
          <w:p w:rsidR="00F46BC6" w:rsidRPr="00D54510" w:rsidRDefault="00F46BC6" w:rsidP="00F46BC6">
            <w:pPr>
              <w:ind w:left="-3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400" w:type="dxa"/>
          </w:tcPr>
          <w:p w:rsidR="00F46BC6" w:rsidRPr="00D54510" w:rsidRDefault="00D54510" w:rsidP="002D5655">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54510">
              <w:rPr>
                <w:rFonts w:cstheme="minorHAnsi"/>
                <w:sz w:val="20"/>
                <w:szCs w:val="20"/>
              </w:rPr>
              <w:t>For 2010-2011 approximately $700.00 was spent in travel and meals.  The director’s participation in these conferences as a presenter allowed tuitions to be waived.  The director received the MEAD AWARD this past year, and will be using his stipend monies to attend conferences this year. No other budget will be required for conferences and recruiting efforts at this time.</w:t>
            </w:r>
          </w:p>
        </w:tc>
      </w:tr>
      <w:tr w:rsidR="00F46BC6" w:rsidRPr="00D54510" w:rsidTr="00D54510">
        <w:trPr>
          <w:trHeight w:val="1105"/>
        </w:trPr>
        <w:tc>
          <w:tcPr>
            <w:cnfStyle w:val="001000000000" w:firstRow="0" w:lastRow="0" w:firstColumn="1" w:lastColumn="0" w:oddVBand="0" w:evenVBand="0" w:oddHBand="0" w:evenHBand="0" w:firstRowFirstColumn="0" w:firstRowLastColumn="0" w:lastRowFirstColumn="0" w:lastRowLastColumn="0"/>
            <w:tcW w:w="1422" w:type="dxa"/>
          </w:tcPr>
          <w:p w:rsidR="00F46BC6" w:rsidRPr="00D54510" w:rsidRDefault="00D54510" w:rsidP="002D5655">
            <w:pPr>
              <w:jc w:val="left"/>
              <w:rPr>
                <w:rFonts w:cstheme="minorHAnsi"/>
                <w:b w:val="0"/>
                <w:sz w:val="20"/>
                <w:szCs w:val="20"/>
              </w:rPr>
            </w:pPr>
            <w:r w:rsidRPr="00D54510">
              <w:rPr>
                <w:rFonts w:cstheme="minorHAnsi"/>
                <w:b w:val="0"/>
                <w:sz w:val="20"/>
                <w:szCs w:val="20"/>
              </w:rPr>
              <w:t>Substance Abuse</w:t>
            </w:r>
          </w:p>
        </w:tc>
        <w:tc>
          <w:tcPr>
            <w:tcW w:w="4176" w:type="dxa"/>
          </w:tcPr>
          <w:p w:rsidR="00F46BC6" w:rsidRPr="00D54510" w:rsidRDefault="00D54510" w:rsidP="002D565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10">
              <w:rPr>
                <w:rFonts w:cstheme="minorHAnsi"/>
                <w:color w:val="000000"/>
                <w:sz w:val="20"/>
                <w:szCs w:val="20"/>
              </w:rPr>
              <w:t>Increase students’ ability to pass LCDC licensure exam, by increasing their knowledge and skill set related to pharmacology.</w:t>
            </w:r>
          </w:p>
        </w:tc>
        <w:tc>
          <w:tcPr>
            <w:tcW w:w="5400" w:type="dxa"/>
          </w:tcPr>
          <w:p w:rsidR="00F46BC6" w:rsidRPr="00D54510" w:rsidRDefault="00D54510" w:rsidP="002D5655">
            <w:pPr>
              <w:spacing w:line="276" w:lineRule="auto"/>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10">
              <w:rPr>
                <w:rFonts w:cstheme="minorHAnsi"/>
                <w:sz w:val="20"/>
                <w:szCs w:val="20"/>
              </w:rPr>
              <w:t xml:space="preserve">Copying costs for the assessment were minimal, and no other monies were required to make this improvement. </w:t>
            </w:r>
          </w:p>
          <w:p w:rsidR="00D54510" w:rsidRPr="00D54510" w:rsidRDefault="00D54510" w:rsidP="002D5655">
            <w:pPr>
              <w:spacing w:line="276" w:lineRule="auto"/>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10">
              <w:rPr>
                <w:rFonts w:cstheme="minorHAnsi"/>
                <w:b/>
                <w:sz w:val="20"/>
                <w:szCs w:val="20"/>
              </w:rPr>
              <w:t>Budget for this program will be discontinued in August of 2012</w:t>
            </w:r>
            <w:r w:rsidRPr="00D54510">
              <w:rPr>
                <w:rFonts w:cstheme="minorHAnsi"/>
                <w:sz w:val="20"/>
                <w:szCs w:val="20"/>
              </w:rPr>
              <w:t>.</w:t>
            </w:r>
          </w:p>
        </w:tc>
      </w:tr>
    </w:tbl>
    <w:p w:rsidR="00F46BC6" w:rsidRDefault="00F46BC6" w:rsidP="00F32C05">
      <w:pPr>
        <w:jc w:val="left"/>
        <w:rPr>
          <w:rFonts w:cstheme="minorHAnsi"/>
        </w:rPr>
      </w:pPr>
    </w:p>
    <w:p w:rsidR="00841319" w:rsidRDefault="00841319" w:rsidP="00F32C05">
      <w:pPr>
        <w:jc w:val="left"/>
        <w:rPr>
          <w:rFonts w:cstheme="minorHAnsi"/>
        </w:rPr>
      </w:pPr>
    </w:p>
    <w:p w:rsidR="00841319" w:rsidRDefault="00841319" w:rsidP="00F32C05">
      <w:pPr>
        <w:jc w:val="left"/>
        <w:rPr>
          <w:rFonts w:cstheme="minorHAnsi"/>
        </w:rPr>
      </w:pPr>
    </w:p>
    <w:p w:rsidR="00841319" w:rsidRDefault="00841319" w:rsidP="00F32C05">
      <w:pPr>
        <w:jc w:val="left"/>
        <w:rPr>
          <w:rFonts w:cstheme="minorHAnsi"/>
        </w:rPr>
      </w:pPr>
    </w:p>
    <w:tbl>
      <w:tblPr>
        <w:tblStyle w:val="LightList-Accent1"/>
        <w:tblW w:w="10998" w:type="dxa"/>
        <w:tblLook w:val="04A0" w:firstRow="1" w:lastRow="0" w:firstColumn="1" w:lastColumn="0" w:noHBand="0" w:noVBand="1"/>
      </w:tblPr>
      <w:tblGrid>
        <w:gridCol w:w="1964"/>
        <w:gridCol w:w="4894"/>
        <w:gridCol w:w="4140"/>
      </w:tblGrid>
      <w:tr w:rsidR="00D54510" w:rsidRPr="00D54510" w:rsidTr="00D5451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964" w:type="dxa"/>
          </w:tcPr>
          <w:p w:rsidR="00D54510" w:rsidRPr="00D54510" w:rsidRDefault="00D54510" w:rsidP="002D5655">
            <w:pPr>
              <w:jc w:val="left"/>
              <w:rPr>
                <w:rFonts w:cstheme="minorHAnsi"/>
                <w:b w:val="0"/>
              </w:rPr>
            </w:pPr>
            <w:r w:rsidRPr="00D54510">
              <w:rPr>
                <w:rFonts w:cstheme="minorHAnsi"/>
                <w:b w:val="0"/>
              </w:rPr>
              <w:lastRenderedPageBreak/>
              <w:t>Program</w:t>
            </w:r>
          </w:p>
        </w:tc>
        <w:tc>
          <w:tcPr>
            <w:tcW w:w="4894" w:type="dxa"/>
          </w:tcPr>
          <w:p w:rsidR="00D54510" w:rsidRPr="00D54510" w:rsidRDefault="00D54510"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4140" w:type="dxa"/>
          </w:tcPr>
          <w:p w:rsidR="00D54510" w:rsidRPr="00D54510" w:rsidRDefault="00D54510"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r>
      <w:tr w:rsidR="00D54510" w:rsidRPr="00D54510" w:rsidTr="0088733C">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1964" w:type="dxa"/>
          </w:tcPr>
          <w:p w:rsidR="00D54510" w:rsidRPr="00D54510" w:rsidRDefault="00D54510" w:rsidP="00D54510">
            <w:pPr>
              <w:jc w:val="left"/>
              <w:rPr>
                <w:rFonts w:cstheme="minorHAnsi"/>
                <w:b w:val="0"/>
                <w:sz w:val="20"/>
                <w:szCs w:val="20"/>
              </w:rPr>
            </w:pPr>
            <w:r>
              <w:rPr>
                <w:rFonts w:cstheme="minorHAnsi"/>
                <w:b w:val="0"/>
                <w:sz w:val="20"/>
                <w:szCs w:val="20"/>
              </w:rPr>
              <w:t>Continuing Education/Consulting</w:t>
            </w:r>
          </w:p>
        </w:tc>
        <w:tc>
          <w:tcPr>
            <w:tcW w:w="4894" w:type="dxa"/>
          </w:tcPr>
          <w:p w:rsidR="00D54510" w:rsidRPr="00D54510" w:rsidRDefault="00D54510" w:rsidP="00D54510">
            <w:pPr>
              <w:jc w:val="left"/>
              <w:cnfStyle w:val="000000100000" w:firstRow="0" w:lastRow="0" w:firstColumn="0" w:lastColumn="0" w:oddVBand="0" w:evenVBand="0" w:oddHBand="1" w:evenHBand="0" w:firstRowFirstColumn="0" w:firstRowLastColumn="0" w:lastRowFirstColumn="0" w:lastRowLastColumn="0"/>
              <w:rPr>
                <w:sz w:val="20"/>
                <w:szCs w:val="20"/>
              </w:rPr>
            </w:pPr>
            <w:r w:rsidRPr="00D54510">
              <w:rPr>
                <w:sz w:val="20"/>
                <w:szCs w:val="20"/>
              </w:rPr>
              <w:t>After capturing baseline data to assess the primary intent of each student attending AC occupational specific classes.   90% of students complete an evaluation form with the following questions:</w:t>
            </w:r>
          </w:p>
        </w:tc>
        <w:tc>
          <w:tcPr>
            <w:tcW w:w="4140" w:type="dxa"/>
          </w:tcPr>
          <w:p w:rsidR="00D54510" w:rsidRPr="00D54510" w:rsidRDefault="00D54510" w:rsidP="002D5655">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Need Unknown</w:t>
            </w:r>
          </w:p>
        </w:tc>
      </w:tr>
      <w:tr w:rsidR="00D54510" w:rsidRPr="00D54510" w:rsidTr="0088733C">
        <w:trPr>
          <w:trHeight w:val="772"/>
        </w:trPr>
        <w:tc>
          <w:tcPr>
            <w:cnfStyle w:val="001000000000" w:firstRow="0" w:lastRow="0" w:firstColumn="1" w:lastColumn="0" w:oddVBand="0" w:evenVBand="0" w:oddHBand="0" w:evenHBand="0" w:firstRowFirstColumn="0" w:firstRowLastColumn="0" w:lastRowFirstColumn="0" w:lastRowLastColumn="0"/>
            <w:tcW w:w="1964" w:type="dxa"/>
          </w:tcPr>
          <w:p w:rsidR="00D54510" w:rsidRPr="00D54510" w:rsidRDefault="00D54510" w:rsidP="00D54510">
            <w:pPr>
              <w:jc w:val="left"/>
              <w:rPr>
                <w:rFonts w:cstheme="minorHAnsi"/>
                <w:b w:val="0"/>
                <w:sz w:val="20"/>
                <w:szCs w:val="20"/>
              </w:rPr>
            </w:pPr>
            <w:r>
              <w:rPr>
                <w:rFonts w:cstheme="minorHAnsi"/>
                <w:b w:val="0"/>
                <w:sz w:val="20"/>
                <w:szCs w:val="20"/>
              </w:rPr>
              <w:t>Continuing Education/Consulting</w:t>
            </w:r>
          </w:p>
        </w:tc>
        <w:tc>
          <w:tcPr>
            <w:tcW w:w="4894" w:type="dxa"/>
          </w:tcPr>
          <w:p w:rsidR="00D54510" w:rsidRPr="00D54510" w:rsidRDefault="00D54510" w:rsidP="00D54510">
            <w:pPr>
              <w:jc w:val="left"/>
              <w:cnfStyle w:val="000000000000" w:firstRow="0" w:lastRow="0" w:firstColumn="0" w:lastColumn="0" w:oddVBand="0" w:evenVBand="0" w:oddHBand="0" w:evenHBand="0" w:firstRowFirstColumn="0" w:firstRowLastColumn="0" w:lastRowFirstColumn="0" w:lastRowLastColumn="0"/>
              <w:rPr>
                <w:b/>
                <w:sz w:val="20"/>
                <w:szCs w:val="20"/>
              </w:rPr>
            </w:pPr>
            <w:r w:rsidRPr="00D54510">
              <w:rPr>
                <w:sz w:val="20"/>
                <w:szCs w:val="20"/>
              </w:rPr>
              <w:t>After identifying at least three key CE Division employees, these individuals will become trained experts in the Business Objects software.</w:t>
            </w:r>
          </w:p>
        </w:tc>
        <w:tc>
          <w:tcPr>
            <w:tcW w:w="4140" w:type="dxa"/>
          </w:tcPr>
          <w:p w:rsidR="00D54510" w:rsidRPr="00D54510" w:rsidRDefault="00D54510" w:rsidP="002D5655">
            <w:pPr>
              <w:spacing w:line="276" w:lineRule="auto"/>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Need Unknown</w:t>
            </w:r>
          </w:p>
        </w:tc>
      </w:tr>
    </w:tbl>
    <w:p w:rsidR="00D54510" w:rsidRDefault="00D54510" w:rsidP="00F32C05">
      <w:pPr>
        <w:jc w:val="left"/>
        <w:rPr>
          <w:rFonts w:cstheme="minorHAnsi"/>
        </w:rPr>
      </w:pPr>
    </w:p>
    <w:tbl>
      <w:tblPr>
        <w:tblStyle w:val="LightList-Accent1"/>
        <w:tblW w:w="11016" w:type="dxa"/>
        <w:tblLook w:val="04A0" w:firstRow="1" w:lastRow="0" w:firstColumn="1" w:lastColumn="0" w:noHBand="0" w:noVBand="1"/>
      </w:tblPr>
      <w:tblGrid>
        <w:gridCol w:w="1593"/>
        <w:gridCol w:w="4275"/>
        <w:gridCol w:w="2250"/>
        <w:gridCol w:w="2898"/>
      </w:tblGrid>
      <w:tr w:rsidR="0088733C" w:rsidRPr="00D54510" w:rsidTr="0088733C">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93" w:type="dxa"/>
          </w:tcPr>
          <w:p w:rsidR="0088733C" w:rsidRPr="00D54510" w:rsidRDefault="0088733C" w:rsidP="002D5655">
            <w:pPr>
              <w:jc w:val="left"/>
              <w:rPr>
                <w:rFonts w:cstheme="minorHAnsi"/>
                <w:b w:val="0"/>
              </w:rPr>
            </w:pPr>
            <w:r w:rsidRPr="00D54510">
              <w:rPr>
                <w:rFonts w:cstheme="minorHAnsi"/>
                <w:b w:val="0"/>
              </w:rPr>
              <w:t>Program</w:t>
            </w:r>
          </w:p>
        </w:tc>
        <w:tc>
          <w:tcPr>
            <w:tcW w:w="4275" w:type="dxa"/>
          </w:tcPr>
          <w:p w:rsidR="0088733C" w:rsidRPr="00D54510" w:rsidRDefault="0088733C"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2250" w:type="dxa"/>
          </w:tcPr>
          <w:p w:rsidR="0088733C" w:rsidRPr="00D54510" w:rsidRDefault="0088733C"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c>
          <w:tcPr>
            <w:tcW w:w="2898" w:type="dxa"/>
          </w:tcPr>
          <w:p w:rsidR="0088733C" w:rsidRPr="00D54510" w:rsidRDefault="0088733C"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sidR="00841319">
              <w:rPr>
                <w:rFonts w:cstheme="minorHAnsi"/>
                <w:b w:val="0"/>
              </w:rPr>
              <w:t xml:space="preserve">Past </w:t>
            </w:r>
            <w:r w:rsidRPr="00D54510">
              <w:rPr>
                <w:rFonts w:cstheme="minorHAnsi"/>
                <w:b w:val="0"/>
              </w:rPr>
              <w:t>Budget</w:t>
            </w:r>
          </w:p>
        </w:tc>
      </w:tr>
      <w:tr w:rsidR="0088733C" w:rsidRPr="00D54510" w:rsidTr="0088733C">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1593" w:type="dxa"/>
          </w:tcPr>
          <w:p w:rsidR="0088733C" w:rsidRPr="0088733C" w:rsidRDefault="0088733C" w:rsidP="002D5655">
            <w:pPr>
              <w:jc w:val="left"/>
              <w:rPr>
                <w:rFonts w:cstheme="minorHAnsi"/>
                <w:b w:val="0"/>
                <w:sz w:val="20"/>
                <w:szCs w:val="20"/>
              </w:rPr>
            </w:pPr>
            <w:r w:rsidRPr="0088733C">
              <w:rPr>
                <w:rFonts w:cstheme="minorHAnsi"/>
                <w:b w:val="0"/>
                <w:sz w:val="20"/>
                <w:szCs w:val="20"/>
              </w:rPr>
              <w:t>Art</w:t>
            </w:r>
          </w:p>
        </w:tc>
        <w:tc>
          <w:tcPr>
            <w:tcW w:w="4275" w:type="dxa"/>
          </w:tcPr>
          <w:p w:rsidR="0088733C" w:rsidRPr="0088733C" w:rsidRDefault="0088733C" w:rsidP="002D565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8733C">
              <w:rPr>
                <w:rFonts w:cstheme="minorHAnsi"/>
                <w:sz w:val="20"/>
                <w:szCs w:val="20"/>
              </w:rPr>
              <w:t xml:space="preserve">All upper-level students taking Drawing III/IV and Painting I/II will participate in the annual Visual Arts showcase by presenting a compilation of their work to 3 – 4 area fine artists.  </w:t>
            </w:r>
          </w:p>
        </w:tc>
        <w:tc>
          <w:tcPr>
            <w:tcW w:w="2250" w:type="dxa"/>
          </w:tcPr>
          <w:p w:rsidR="0088733C" w:rsidRPr="0088733C" w:rsidRDefault="0088733C" w:rsidP="002D5655">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8733C">
              <w:rPr>
                <w:rFonts w:cstheme="minorHAnsi"/>
                <w:sz w:val="20"/>
                <w:szCs w:val="20"/>
              </w:rPr>
              <w:t>Stipend pay for judges totaling $200.00</w:t>
            </w:r>
          </w:p>
        </w:tc>
        <w:tc>
          <w:tcPr>
            <w:tcW w:w="2898" w:type="dxa"/>
          </w:tcPr>
          <w:p w:rsidR="0088733C" w:rsidRPr="0088733C" w:rsidRDefault="0088733C" w:rsidP="002D5655">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8733C">
              <w:rPr>
                <w:rFonts w:cstheme="minorHAnsi"/>
                <w:sz w:val="20"/>
                <w:szCs w:val="20"/>
              </w:rPr>
              <w:t>Stipend pay for judges is $50.00 each.  Art normally has 3-4 judges for a total of $200.00</w:t>
            </w:r>
          </w:p>
        </w:tc>
      </w:tr>
    </w:tbl>
    <w:p w:rsidR="0088733C" w:rsidRDefault="0088733C" w:rsidP="00F32C05">
      <w:pPr>
        <w:jc w:val="left"/>
        <w:rPr>
          <w:rFonts w:cstheme="minorHAnsi"/>
        </w:rPr>
      </w:pPr>
    </w:p>
    <w:tbl>
      <w:tblPr>
        <w:tblStyle w:val="LightList-Accent1"/>
        <w:tblW w:w="11016" w:type="dxa"/>
        <w:tblLook w:val="04A0" w:firstRow="1" w:lastRow="0" w:firstColumn="1" w:lastColumn="0" w:noHBand="0" w:noVBand="1"/>
      </w:tblPr>
      <w:tblGrid>
        <w:gridCol w:w="1593"/>
        <w:gridCol w:w="4185"/>
        <w:gridCol w:w="3420"/>
        <w:gridCol w:w="1818"/>
      </w:tblGrid>
      <w:tr w:rsidR="0088733C" w:rsidRPr="00D54510" w:rsidTr="0088733C">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93" w:type="dxa"/>
          </w:tcPr>
          <w:p w:rsidR="0088733C" w:rsidRPr="00D54510" w:rsidRDefault="0088733C" w:rsidP="002D5655">
            <w:pPr>
              <w:jc w:val="left"/>
              <w:rPr>
                <w:rFonts w:cstheme="minorHAnsi"/>
                <w:b w:val="0"/>
              </w:rPr>
            </w:pPr>
            <w:r w:rsidRPr="00D54510">
              <w:rPr>
                <w:rFonts w:cstheme="minorHAnsi"/>
                <w:b w:val="0"/>
              </w:rPr>
              <w:t>Program</w:t>
            </w:r>
          </w:p>
        </w:tc>
        <w:tc>
          <w:tcPr>
            <w:tcW w:w="4185" w:type="dxa"/>
          </w:tcPr>
          <w:p w:rsidR="0088733C" w:rsidRPr="00D54510" w:rsidRDefault="0088733C"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3420" w:type="dxa"/>
          </w:tcPr>
          <w:p w:rsidR="0088733C" w:rsidRPr="00D54510" w:rsidRDefault="0088733C"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c>
          <w:tcPr>
            <w:tcW w:w="1818" w:type="dxa"/>
          </w:tcPr>
          <w:p w:rsidR="0088733C" w:rsidRPr="00D54510" w:rsidRDefault="0088733C"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sidR="00841319">
              <w:rPr>
                <w:rFonts w:cstheme="minorHAnsi"/>
                <w:b w:val="0"/>
              </w:rPr>
              <w:t xml:space="preserve"> Past </w:t>
            </w:r>
            <w:r w:rsidRPr="00D54510">
              <w:rPr>
                <w:rFonts w:cstheme="minorHAnsi"/>
                <w:b w:val="0"/>
              </w:rPr>
              <w:t xml:space="preserve"> Budget</w:t>
            </w:r>
          </w:p>
        </w:tc>
      </w:tr>
      <w:tr w:rsidR="0088733C" w:rsidRPr="00D54510" w:rsidTr="0088733C">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1593" w:type="dxa"/>
          </w:tcPr>
          <w:p w:rsidR="0088733C" w:rsidRPr="0088733C" w:rsidRDefault="0088733C" w:rsidP="002D5655">
            <w:pPr>
              <w:jc w:val="left"/>
              <w:rPr>
                <w:rFonts w:cstheme="minorHAnsi"/>
                <w:b w:val="0"/>
                <w:sz w:val="20"/>
                <w:szCs w:val="20"/>
              </w:rPr>
            </w:pPr>
            <w:r w:rsidRPr="0088733C">
              <w:rPr>
                <w:rFonts w:cstheme="minorHAnsi"/>
                <w:b w:val="0"/>
                <w:sz w:val="20"/>
                <w:szCs w:val="20"/>
              </w:rPr>
              <w:t>Graphic Design</w:t>
            </w:r>
          </w:p>
        </w:tc>
        <w:tc>
          <w:tcPr>
            <w:tcW w:w="4185" w:type="dxa"/>
          </w:tcPr>
          <w:p w:rsidR="0088733C" w:rsidRPr="0088733C" w:rsidRDefault="0088733C" w:rsidP="002D565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8733C">
              <w:rPr>
                <w:rFonts w:cstheme="minorHAnsi"/>
                <w:sz w:val="20"/>
                <w:szCs w:val="20"/>
              </w:rPr>
              <w:t>Upon completion of the capstone (portfolio) course, the student will be able to clearly demonstrate professional graphic design skills as evaluated by outside graphic design professionals using a rubric developed by the graphic design faculty.</w:t>
            </w:r>
          </w:p>
        </w:tc>
        <w:tc>
          <w:tcPr>
            <w:tcW w:w="3420" w:type="dxa"/>
          </w:tcPr>
          <w:p w:rsidR="0088733C" w:rsidRPr="0088733C" w:rsidRDefault="0088733C" w:rsidP="0088733C">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8733C">
              <w:rPr>
                <w:rFonts w:cstheme="minorHAnsi"/>
                <w:sz w:val="20"/>
                <w:szCs w:val="20"/>
              </w:rPr>
              <w:t>Stipend pay for judges totaling $200.00</w:t>
            </w:r>
          </w:p>
        </w:tc>
        <w:tc>
          <w:tcPr>
            <w:tcW w:w="1818" w:type="dxa"/>
          </w:tcPr>
          <w:p w:rsidR="0088733C" w:rsidRPr="0088733C" w:rsidRDefault="0088733C" w:rsidP="0088733C">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8733C">
              <w:rPr>
                <w:rFonts w:cstheme="minorHAnsi"/>
                <w:sz w:val="20"/>
                <w:szCs w:val="20"/>
              </w:rPr>
              <w:t xml:space="preserve">Stipend pay for judges is $50.00 each.  </w:t>
            </w:r>
            <w:r>
              <w:rPr>
                <w:rFonts w:cstheme="minorHAnsi"/>
                <w:sz w:val="20"/>
                <w:szCs w:val="20"/>
              </w:rPr>
              <w:t>Graphic Design</w:t>
            </w:r>
            <w:r w:rsidRPr="0088733C">
              <w:rPr>
                <w:rFonts w:cstheme="minorHAnsi"/>
                <w:sz w:val="20"/>
                <w:szCs w:val="20"/>
              </w:rPr>
              <w:t xml:space="preserve"> normally has 3-4 judges for a total of $200.00</w:t>
            </w:r>
          </w:p>
        </w:tc>
      </w:tr>
      <w:tr w:rsidR="0088733C" w:rsidRPr="00D54510" w:rsidTr="0088733C">
        <w:trPr>
          <w:trHeight w:val="2482"/>
        </w:trPr>
        <w:tc>
          <w:tcPr>
            <w:cnfStyle w:val="001000000000" w:firstRow="0" w:lastRow="0" w:firstColumn="1" w:lastColumn="0" w:oddVBand="0" w:evenVBand="0" w:oddHBand="0" w:evenHBand="0" w:firstRowFirstColumn="0" w:firstRowLastColumn="0" w:lastRowFirstColumn="0" w:lastRowLastColumn="0"/>
            <w:tcW w:w="1593" w:type="dxa"/>
          </w:tcPr>
          <w:p w:rsidR="0088733C" w:rsidRPr="00841319" w:rsidRDefault="0088733C" w:rsidP="002D5655">
            <w:pPr>
              <w:jc w:val="left"/>
              <w:rPr>
                <w:rFonts w:cstheme="minorHAnsi"/>
                <w:b w:val="0"/>
                <w:sz w:val="20"/>
                <w:szCs w:val="20"/>
              </w:rPr>
            </w:pPr>
            <w:r w:rsidRPr="00841319">
              <w:rPr>
                <w:rFonts w:cstheme="minorHAnsi"/>
                <w:b w:val="0"/>
                <w:sz w:val="20"/>
                <w:szCs w:val="20"/>
              </w:rPr>
              <w:t>Graphic Design</w:t>
            </w:r>
          </w:p>
        </w:tc>
        <w:tc>
          <w:tcPr>
            <w:tcW w:w="4185" w:type="dxa"/>
          </w:tcPr>
          <w:p w:rsidR="0088733C" w:rsidRPr="00841319" w:rsidRDefault="0088733C" w:rsidP="002D565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41319">
              <w:rPr>
                <w:sz w:val="20"/>
                <w:szCs w:val="20"/>
              </w:rPr>
              <w:t>Expand Student Success (AC Strategic Plan 1.5.3.1)</w:t>
            </w:r>
          </w:p>
        </w:tc>
        <w:tc>
          <w:tcPr>
            <w:tcW w:w="3420" w:type="dxa"/>
          </w:tcPr>
          <w:p w:rsidR="0088733C" w:rsidRPr="0088733C" w:rsidRDefault="0088733C" w:rsidP="0088733C">
            <w:pPr>
              <w:jc w:val="left"/>
              <w:cnfStyle w:val="000000000000" w:firstRow="0" w:lastRow="0" w:firstColumn="0" w:lastColumn="0" w:oddVBand="0" w:evenVBand="0" w:oddHBand="0" w:evenHBand="0" w:firstRowFirstColumn="0" w:firstRowLastColumn="0" w:lastRowFirstColumn="0" w:lastRowLastColumn="0"/>
              <w:rPr>
                <w:sz w:val="20"/>
                <w:szCs w:val="20"/>
              </w:rPr>
            </w:pPr>
            <w:r w:rsidRPr="0088733C">
              <w:rPr>
                <w:sz w:val="20"/>
                <w:szCs w:val="20"/>
              </w:rPr>
              <w:t xml:space="preserve">Approx. $25,000/every 2 years or so as newer versions of software become available. Continued support from </w:t>
            </w:r>
            <w:proofErr w:type="gramStart"/>
            <w:r w:rsidRPr="0088733C">
              <w:rPr>
                <w:sz w:val="20"/>
                <w:szCs w:val="20"/>
              </w:rPr>
              <w:t>ITS</w:t>
            </w:r>
            <w:proofErr w:type="gramEnd"/>
            <w:r w:rsidRPr="0088733C">
              <w:rPr>
                <w:sz w:val="20"/>
                <w:szCs w:val="20"/>
              </w:rPr>
              <w:t xml:space="preserve"> for computer hardware replacement.  Need for up-to-date software applications and computer hardware to ensure students will be trained on those applications and equipment used in the industry as recommended by the advisory committee.</w:t>
            </w:r>
          </w:p>
        </w:tc>
        <w:tc>
          <w:tcPr>
            <w:tcW w:w="1818" w:type="dxa"/>
          </w:tcPr>
          <w:p w:rsidR="0088733C" w:rsidRPr="0088733C" w:rsidRDefault="0088733C" w:rsidP="0088733C">
            <w:pPr>
              <w:spacing w:line="276" w:lineRule="auto"/>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rsidR="0088733C" w:rsidRDefault="0088733C" w:rsidP="00F32C05">
      <w:pPr>
        <w:jc w:val="left"/>
        <w:rPr>
          <w:rFonts w:cstheme="minorHAnsi"/>
        </w:rPr>
      </w:pPr>
    </w:p>
    <w:tbl>
      <w:tblPr>
        <w:tblStyle w:val="LightList-Accent1"/>
        <w:tblW w:w="10998" w:type="dxa"/>
        <w:tblLook w:val="04A0" w:firstRow="1" w:lastRow="0" w:firstColumn="1" w:lastColumn="0" w:noHBand="0" w:noVBand="1"/>
      </w:tblPr>
      <w:tblGrid>
        <w:gridCol w:w="1593"/>
        <w:gridCol w:w="4185"/>
        <w:gridCol w:w="5220"/>
      </w:tblGrid>
      <w:tr w:rsidR="00841319" w:rsidRPr="00D54510" w:rsidTr="00C81DD1">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93" w:type="dxa"/>
          </w:tcPr>
          <w:p w:rsidR="00841319" w:rsidRPr="00D54510" w:rsidRDefault="00841319" w:rsidP="00C81DD1">
            <w:pPr>
              <w:jc w:val="left"/>
              <w:rPr>
                <w:rFonts w:cstheme="minorHAnsi"/>
                <w:b w:val="0"/>
              </w:rPr>
            </w:pPr>
            <w:r w:rsidRPr="00D54510">
              <w:rPr>
                <w:rFonts w:cstheme="minorHAnsi"/>
                <w:b w:val="0"/>
              </w:rPr>
              <w:t>Program</w:t>
            </w:r>
          </w:p>
        </w:tc>
        <w:tc>
          <w:tcPr>
            <w:tcW w:w="4185" w:type="dxa"/>
          </w:tcPr>
          <w:p w:rsidR="00841319" w:rsidRPr="008805A2" w:rsidRDefault="00841319"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8805A2">
              <w:rPr>
                <w:rFonts w:cstheme="minorHAnsi"/>
                <w:b w:val="0"/>
                <w:sz w:val="20"/>
                <w:szCs w:val="20"/>
              </w:rPr>
              <w:t xml:space="preserve">Goal or Outcome Related to Budget </w:t>
            </w:r>
          </w:p>
        </w:tc>
        <w:tc>
          <w:tcPr>
            <w:tcW w:w="5220" w:type="dxa"/>
          </w:tcPr>
          <w:p w:rsidR="00841319" w:rsidRPr="00D54510" w:rsidRDefault="00841319" w:rsidP="00C81DD1">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 Budget</w:t>
            </w:r>
          </w:p>
        </w:tc>
      </w:tr>
      <w:tr w:rsidR="00841319" w:rsidRPr="00D54510" w:rsidTr="00C81DD1">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1593" w:type="dxa"/>
          </w:tcPr>
          <w:p w:rsidR="00841319" w:rsidRPr="00306CAA" w:rsidRDefault="00841319" w:rsidP="00C81DD1">
            <w:pPr>
              <w:jc w:val="left"/>
              <w:rPr>
                <w:rFonts w:cstheme="minorHAnsi"/>
                <w:b w:val="0"/>
                <w:sz w:val="20"/>
                <w:szCs w:val="20"/>
              </w:rPr>
            </w:pPr>
            <w:r w:rsidRPr="00306CAA">
              <w:rPr>
                <w:rFonts w:cstheme="minorHAnsi"/>
                <w:b w:val="0"/>
                <w:sz w:val="20"/>
                <w:szCs w:val="20"/>
              </w:rPr>
              <w:t>Physical Therapy</w:t>
            </w:r>
          </w:p>
        </w:tc>
        <w:tc>
          <w:tcPr>
            <w:tcW w:w="4185" w:type="dxa"/>
          </w:tcPr>
          <w:p w:rsidR="00841319" w:rsidRPr="00306CAA" w:rsidRDefault="00841319" w:rsidP="00C81DD1">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06CAA">
              <w:rPr>
                <w:sz w:val="20"/>
                <w:szCs w:val="20"/>
              </w:rPr>
              <w:t>Ninety-five percent of PTA students graduating from AC’s PTA program over a rolling three year period will pass the state licensure exam on first attempt as determined by result reports.</w:t>
            </w:r>
          </w:p>
        </w:tc>
        <w:tc>
          <w:tcPr>
            <w:tcW w:w="5220" w:type="dxa"/>
          </w:tcPr>
          <w:p w:rsidR="00841319" w:rsidRPr="00306CAA" w:rsidRDefault="00841319" w:rsidP="00C81DD1">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06CAA">
              <w:rPr>
                <w:sz w:val="20"/>
                <w:szCs w:val="20"/>
              </w:rPr>
              <w:t>Online review test will cost students</w:t>
            </w:r>
          </w:p>
        </w:tc>
      </w:tr>
    </w:tbl>
    <w:p w:rsidR="00841319" w:rsidRDefault="00841319" w:rsidP="00F32C05">
      <w:pPr>
        <w:jc w:val="left"/>
        <w:rPr>
          <w:rFonts w:cstheme="minorHAnsi"/>
        </w:rPr>
      </w:pPr>
    </w:p>
    <w:p w:rsidR="00841319" w:rsidRDefault="00841319" w:rsidP="00F32C05">
      <w:pPr>
        <w:jc w:val="left"/>
        <w:rPr>
          <w:rFonts w:cstheme="minorHAnsi"/>
        </w:rPr>
      </w:pPr>
    </w:p>
    <w:p w:rsidR="00841319" w:rsidRDefault="00841319" w:rsidP="00F32C05">
      <w:pPr>
        <w:jc w:val="left"/>
        <w:rPr>
          <w:rFonts w:cstheme="minorHAnsi"/>
        </w:rPr>
      </w:pPr>
    </w:p>
    <w:p w:rsidR="00841319" w:rsidRDefault="00841319" w:rsidP="00F32C05">
      <w:pPr>
        <w:jc w:val="left"/>
        <w:rPr>
          <w:rFonts w:cstheme="minorHAnsi"/>
        </w:rPr>
      </w:pPr>
    </w:p>
    <w:p w:rsidR="00841319" w:rsidRDefault="00841319" w:rsidP="00F32C05">
      <w:pPr>
        <w:jc w:val="left"/>
        <w:rPr>
          <w:rFonts w:cstheme="minorHAnsi"/>
        </w:rPr>
      </w:pPr>
    </w:p>
    <w:p w:rsidR="00841319" w:rsidRDefault="00841319" w:rsidP="00F32C05">
      <w:pPr>
        <w:jc w:val="left"/>
        <w:rPr>
          <w:rFonts w:cstheme="minorHAnsi"/>
        </w:rPr>
      </w:pPr>
    </w:p>
    <w:p w:rsidR="00841319" w:rsidRDefault="00841319" w:rsidP="00F32C05">
      <w:pPr>
        <w:jc w:val="left"/>
        <w:rPr>
          <w:rFonts w:cstheme="minorHAnsi"/>
        </w:rPr>
      </w:pPr>
    </w:p>
    <w:p w:rsidR="00841319" w:rsidRDefault="00841319" w:rsidP="00F32C05">
      <w:pPr>
        <w:jc w:val="left"/>
        <w:rPr>
          <w:rFonts w:cstheme="minorHAnsi"/>
        </w:rPr>
      </w:pPr>
    </w:p>
    <w:tbl>
      <w:tblPr>
        <w:tblStyle w:val="LightList-Accent1"/>
        <w:tblW w:w="10998" w:type="dxa"/>
        <w:tblLook w:val="04A0" w:firstRow="1" w:lastRow="0" w:firstColumn="1" w:lastColumn="0" w:noHBand="0" w:noVBand="1"/>
      </w:tblPr>
      <w:tblGrid>
        <w:gridCol w:w="1593"/>
        <w:gridCol w:w="3645"/>
        <w:gridCol w:w="5760"/>
      </w:tblGrid>
      <w:tr w:rsidR="008805A2" w:rsidRPr="00D54510" w:rsidTr="00841319">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593" w:type="dxa"/>
          </w:tcPr>
          <w:p w:rsidR="008805A2" w:rsidRPr="00D54510" w:rsidRDefault="008805A2" w:rsidP="002D5655">
            <w:pPr>
              <w:jc w:val="left"/>
              <w:rPr>
                <w:rFonts w:cstheme="minorHAnsi"/>
                <w:b w:val="0"/>
              </w:rPr>
            </w:pPr>
            <w:r w:rsidRPr="00D54510">
              <w:rPr>
                <w:rFonts w:cstheme="minorHAnsi"/>
                <w:b w:val="0"/>
              </w:rPr>
              <w:lastRenderedPageBreak/>
              <w:t>Program</w:t>
            </w:r>
          </w:p>
        </w:tc>
        <w:tc>
          <w:tcPr>
            <w:tcW w:w="3645" w:type="dxa"/>
          </w:tcPr>
          <w:p w:rsidR="008805A2" w:rsidRPr="008805A2" w:rsidRDefault="008805A2"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8805A2">
              <w:rPr>
                <w:rFonts w:cstheme="minorHAnsi"/>
                <w:b w:val="0"/>
                <w:sz w:val="20"/>
                <w:szCs w:val="20"/>
              </w:rPr>
              <w:t xml:space="preserve">Goal or Outcome Related to Budget </w:t>
            </w:r>
          </w:p>
        </w:tc>
        <w:tc>
          <w:tcPr>
            <w:tcW w:w="5760" w:type="dxa"/>
          </w:tcPr>
          <w:p w:rsidR="008805A2" w:rsidRPr="00D54510" w:rsidRDefault="008805A2"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r>
      <w:tr w:rsidR="008805A2" w:rsidRPr="00D54510" w:rsidTr="00841319">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1593" w:type="dxa"/>
          </w:tcPr>
          <w:p w:rsidR="008805A2" w:rsidRPr="008805A2" w:rsidRDefault="008805A2" w:rsidP="002D5655">
            <w:pPr>
              <w:jc w:val="left"/>
              <w:rPr>
                <w:rFonts w:cstheme="minorHAnsi"/>
                <w:b w:val="0"/>
                <w:sz w:val="20"/>
                <w:szCs w:val="20"/>
              </w:rPr>
            </w:pPr>
            <w:r w:rsidRPr="008805A2">
              <w:rPr>
                <w:rFonts w:cstheme="minorHAnsi"/>
                <w:b w:val="0"/>
                <w:sz w:val="20"/>
                <w:szCs w:val="20"/>
              </w:rPr>
              <w:t>Mass Communications</w:t>
            </w:r>
          </w:p>
        </w:tc>
        <w:tc>
          <w:tcPr>
            <w:tcW w:w="3645" w:type="dxa"/>
          </w:tcPr>
          <w:p w:rsidR="008805A2" w:rsidRPr="008805A2" w:rsidRDefault="008805A2" w:rsidP="002D565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805A2">
              <w:rPr>
                <w:rFonts w:cstheme="minorHAnsi"/>
                <w:sz w:val="20"/>
                <w:szCs w:val="20"/>
              </w:rPr>
              <w:t>Upon completion of 15 hours of mass communication course work, 80% of the students enrolled in an AS program will demonstrate the ability to tell a clear and accurate story to a specified audience using appropriate media as evaluated by a panel of media professionals.</w:t>
            </w:r>
          </w:p>
        </w:tc>
        <w:tc>
          <w:tcPr>
            <w:tcW w:w="5760" w:type="dxa"/>
          </w:tcPr>
          <w:p w:rsidR="008805A2" w:rsidRPr="008805A2" w:rsidRDefault="008805A2" w:rsidP="008805A2">
            <w:pPr>
              <w:jc w:val="left"/>
              <w:cnfStyle w:val="000000100000" w:firstRow="0" w:lastRow="0" w:firstColumn="0" w:lastColumn="0" w:oddVBand="0" w:evenVBand="0" w:oddHBand="1" w:evenHBand="0" w:firstRowFirstColumn="0" w:firstRowLastColumn="0" w:lastRowFirstColumn="0" w:lastRowLastColumn="0"/>
              <w:rPr>
                <w:sz w:val="20"/>
                <w:szCs w:val="20"/>
                <w:u w:val="single"/>
              </w:rPr>
            </w:pPr>
            <w:r w:rsidRPr="008805A2">
              <w:rPr>
                <w:sz w:val="20"/>
                <w:szCs w:val="20"/>
              </w:rPr>
              <w:t>Recommended compensation for external evaluators is $50 each for a total of $75-$100.</w:t>
            </w:r>
          </w:p>
          <w:p w:rsidR="008805A2" w:rsidRPr="008805A2" w:rsidRDefault="008805A2" w:rsidP="002D5655">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805A2" w:rsidRPr="00D54510" w:rsidTr="00841319">
        <w:trPr>
          <w:trHeight w:val="2032"/>
        </w:trPr>
        <w:tc>
          <w:tcPr>
            <w:cnfStyle w:val="001000000000" w:firstRow="0" w:lastRow="0" w:firstColumn="1" w:lastColumn="0" w:oddVBand="0" w:evenVBand="0" w:oddHBand="0" w:evenHBand="0" w:firstRowFirstColumn="0" w:firstRowLastColumn="0" w:lastRowFirstColumn="0" w:lastRowLastColumn="0"/>
            <w:tcW w:w="1593" w:type="dxa"/>
          </w:tcPr>
          <w:p w:rsidR="008805A2" w:rsidRPr="008805A2" w:rsidRDefault="008805A2" w:rsidP="002D5655">
            <w:pPr>
              <w:jc w:val="left"/>
              <w:rPr>
                <w:rFonts w:cstheme="minorHAnsi"/>
                <w:b w:val="0"/>
                <w:sz w:val="20"/>
                <w:szCs w:val="20"/>
              </w:rPr>
            </w:pPr>
            <w:r w:rsidRPr="008805A2">
              <w:rPr>
                <w:rFonts w:cstheme="minorHAnsi"/>
                <w:b w:val="0"/>
                <w:sz w:val="20"/>
                <w:szCs w:val="20"/>
              </w:rPr>
              <w:t>Mass Communications</w:t>
            </w:r>
          </w:p>
        </w:tc>
        <w:tc>
          <w:tcPr>
            <w:tcW w:w="3645" w:type="dxa"/>
          </w:tcPr>
          <w:p w:rsidR="008805A2" w:rsidRPr="008805A2" w:rsidRDefault="008805A2" w:rsidP="002D565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805A2">
              <w:rPr>
                <w:sz w:val="20"/>
                <w:szCs w:val="20"/>
              </w:rPr>
              <w:t>Expand Student Success (AC Strategic Plan 1.5.3.1)</w:t>
            </w:r>
          </w:p>
        </w:tc>
        <w:tc>
          <w:tcPr>
            <w:tcW w:w="5760" w:type="dxa"/>
          </w:tcPr>
          <w:p w:rsidR="008805A2" w:rsidRPr="008805A2" w:rsidRDefault="008805A2" w:rsidP="002D5655">
            <w:pPr>
              <w:jc w:val="left"/>
              <w:cnfStyle w:val="000000000000" w:firstRow="0" w:lastRow="0" w:firstColumn="0" w:lastColumn="0" w:oddVBand="0" w:evenVBand="0" w:oddHBand="0" w:evenHBand="0" w:firstRowFirstColumn="0" w:firstRowLastColumn="0" w:lastRowFirstColumn="0" w:lastRowLastColumn="0"/>
              <w:rPr>
                <w:sz w:val="20"/>
                <w:szCs w:val="20"/>
              </w:rPr>
            </w:pPr>
            <w:r w:rsidRPr="008805A2">
              <w:rPr>
                <w:sz w:val="20"/>
                <w:szCs w:val="20"/>
              </w:rPr>
              <w:t xml:space="preserve">$2000  Funding to promote the </w:t>
            </w:r>
            <w:r w:rsidRPr="008805A2">
              <w:rPr>
                <w:i/>
                <w:sz w:val="20"/>
                <w:szCs w:val="20"/>
              </w:rPr>
              <w:t xml:space="preserve">AC Current/The Ranger, </w:t>
            </w:r>
            <w:r w:rsidRPr="008805A2">
              <w:rPr>
                <w:sz w:val="20"/>
                <w:szCs w:val="20"/>
              </w:rPr>
              <w:t>support student involvement with the Society of Professional Journalist (we are forming a partnership with WTA&amp;M), and Mass Communication majors’ meetings as well as other endeavors to connect with students from all areas of the college and community.  These types of activities will promote student engagement as well as bring a sense of connection to the college.  By supporting student media and FM90, we feel we can further enhance students’ engagement.</w:t>
            </w:r>
          </w:p>
        </w:tc>
      </w:tr>
    </w:tbl>
    <w:p w:rsidR="007A7F6E" w:rsidRDefault="007A7F6E" w:rsidP="00F32C05">
      <w:pPr>
        <w:jc w:val="left"/>
        <w:rPr>
          <w:rFonts w:cstheme="minorHAnsi"/>
        </w:rPr>
      </w:pPr>
    </w:p>
    <w:p w:rsidR="007A7F6E" w:rsidRDefault="007A7F6E" w:rsidP="00F32C05">
      <w:pPr>
        <w:jc w:val="left"/>
        <w:rPr>
          <w:rFonts w:cstheme="minorHAnsi"/>
        </w:rPr>
      </w:pPr>
    </w:p>
    <w:tbl>
      <w:tblPr>
        <w:tblStyle w:val="LightList-Accent1"/>
        <w:tblW w:w="11016" w:type="dxa"/>
        <w:tblLook w:val="04A0" w:firstRow="1" w:lastRow="0" w:firstColumn="1" w:lastColumn="0" w:noHBand="0" w:noVBand="1"/>
      </w:tblPr>
      <w:tblGrid>
        <w:gridCol w:w="1278"/>
        <w:gridCol w:w="2970"/>
        <w:gridCol w:w="5130"/>
        <w:gridCol w:w="1638"/>
      </w:tblGrid>
      <w:tr w:rsidR="007A7F6E" w:rsidRPr="00D54510" w:rsidTr="00841319">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78" w:type="dxa"/>
          </w:tcPr>
          <w:p w:rsidR="007A7F6E" w:rsidRPr="00D54510" w:rsidRDefault="007A7F6E" w:rsidP="002D5655">
            <w:pPr>
              <w:jc w:val="left"/>
              <w:rPr>
                <w:rFonts w:cstheme="minorHAnsi"/>
                <w:b w:val="0"/>
              </w:rPr>
            </w:pPr>
            <w:r w:rsidRPr="00D54510">
              <w:rPr>
                <w:rFonts w:cstheme="minorHAnsi"/>
                <w:b w:val="0"/>
              </w:rPr>
              <w:t>Program</w:t>
            </w:r>
          </w:p>
        </w:tc>
        <w:tc>
          <w:tcPr>
            <w:tcW w:w="2970" w:type="dxa"/>
          </w:tcPr>
          <w:p w:rsidR="007A7F6E" w:rsidRPr="008805A2" w:rsidRDefault="007A7F6E"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8805A2">
              <w:rPr>
                <w:rFonts w:cstheme="minorHAnsi"/>
                <w:b w:val="0"/>
                <w:sz w:val="20"/>
                <w:szCs w:val="20"/>
              </w:rPr>
              <w:t xml:space="preserve">Goal or Outcome Related to Budget </w:t>
            </w:r>
          </w:p>
        </w:tc>
        <w:tc>
          <w:tcPr>
            <w:tcW w:w="5130" w:type="dxa"/>
          </w:tcPr>
          <w:p w:rsidR="007A7F6E" w:rsidRPr="00D54510" w:rsidRDefault="007A7F6E"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c>
          <w:tcPr>
            <w:tcW w:w="1638" w:type="dxa"/>
          </w:tcPr>
          <w:p w:rsidR="007A7F6E" w:rsidRPr="00D54510" w:rsidRDefault="007A7F6E"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Information Linked to </w:t>
            </w:r>
            <w:r w:rsidR="00841319">
              <w:rPr>
                <w:rFonts w:cstheme="minorHAnsi"/>
                <w:b w:val="0"/>
              </w:rPr>
              <w:t xml:space="preserve">Past </w:t>
            </w:r>
            <w:r w:rsidRPr="00D54510">
              <w:rPr>
                <w:rFonts w:cstheme="minorHAnsi"/>
                <w:b w:val="0"/>
              </w:rPr>
              <w:t>Budget</w:t>
            </w:r>
          </w:p>
        </w:tc>
      </w:tr>
      <w:tr w:rsidR="007A7F6E" w:rsidRPr="00D54510" w:rsidTr="00841319">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1278" w:type="dxa"/>
          </w:tcPr>
          <w:p w:rsidR="007A7F6E" w:rsidRPr="007A7F6E" w:rsidRDefault="007A7F6E" w:rsidP="002D5655">
            <w:pPr>
              <w:jc w:val="left"/>
              <w:rPr>
                <w:rFonts w:cstheme="minorHAnsi"/>
                <w:b w:val="0"/>
                <w:sz w:val="20"/>
                <w:szCs w:val="20"/>
              </w:rPr>
            </w:pPr>
            <w:r w:rsidRPr="007A7F6E">
              <w:rPr>
                <w:rFonts w:cstheme="minorHAnsi"/>
                <w:b w:val="0"/>
                <w:sz w:val="20"/>
                <w:szCs w:val="20"/>
              </w:rPr>
              <w:t>Photography</w:t>
            </w:r>
          </w:p>
        </w:tc>
        <w:tc>
          <w:tcPr>
            <w:tcW w:w="2970" w:type="dxa"/>
          </w:tcPr>
          <w:p w:rsidR="007A7F6E" w:rsidRPr="007A7F6E" w:rsidRDefault="007A7F6E" w:rsidP="002D565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A7F6E">
              <w:rPr>
                <w:rFonts w:cstheme="minorHAnsi"/>
                <w:sz w:val="20"/>
                <w:szCs w:val="20"/>
              </w:rPr>
              <w:t>Upon completion of the capstone (portfolio) course, the student will be able to clearly demonstrate professional photographic skills as evaluated by media specialists using a rubric created by the photography faculty.</w:t>
            </w:r>
          </w:p>
        </w:tc>
        <w:tc>
          <w:tcPr>
            <w:tcW w:w="5130" w:type="dxa"/>
          </w:tcPr>
          <w:p w:rsidR="007A7F6E" w:rsidRPr="007A7F6E" w:rsidRDefault="007A7F6E" w:rsidP="002D5655">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A7F6E">
              <w:rPr>
                <w:sz w:val="20"/>
                <w:szCs w:val="20"/>
              </w:rPr>
              <w:t>Stipend pay for judges totaling $200.00</w:t>
            </w:r>
          </w:p>
        </w:tc>
        <w:tc>
          <w:tcPr>
            <w:tcW w:w="1638" w:type="dxa"/>
          </w:tcPr>
          <w:p w:rsidR="007A7F6E" w:rsidRPr="007A7F6E" w:rsidRDefault="007A7F6E" w:rsidP="002D5655">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A7F6E">
              <w:rPr>
                <w:sz w:val="20"/>
                <w:szCs w:val="20"/>
              </w:rPr>
              <w:t>Stipend pay for judges is $50.00 each.  Photography normally has 3-4 judges for a total of $200.00</w:t>
            </w:r>
          </w:p>
        </w:tc>
      </w:tr>
      <w:tr w:rsidR="007A7F6E" w:rsidRPr="00D54510" w:rsidTr="00841319">
        <w:trPr>
          <w:trHeight w:val="1033"/>
        </w:trPr>
        <w:tc>
          <w:tcPr>
            <w:cnfStyle w:val="001000000000" w:firstRow="0" w:lastRow="0" w:firstColumn="1" w:lastColumn="0" w:oddVBand="0" w:evenVBand="0" w:oddHBand="0" w:evenHBand="0" w:firstRowFirstColumn="0" w:firstRowLastColumn="0" w:lastRowFirstColumn="0" w:lastRowLastColumn="0"/>
            <w:tcW w:w="1278" w:type="dxa"/>
          </w:tcPr>
          <w:p w:rsidR="007A7F6E" w:rsidRPr="007A7F6E" w:rsidRDefault="007A7F6E" w:rsidP="002D5655">
            <w:pPr>
              <w:jc w:val="left"/>
              <w:rPr>
                <w:rFonts w:cstheme="minorHAnsi"/>
                <w:b w:val="0"/>
                <w:sz w:val="20"/>
                <w:szCs w:val="20"/>
              </w:rPr>
            </w:pPr>
            <w:r w:rsidRPr="007A7F6E">
              <w:rPr>
                <w:rFonts w:cstheme="minorHAnsi"/>
                <w:b w:val="0"/>
                <w:sz w:val="20"/>
                <w:szCs w:val="20"/>
              </w:rPr>
              <w:t>Photography</w:t>
            </w:r>
          </w:p>
        </w:tc>
        <w:tc>
          <w:tcPr>
            <w:tcW w:w="2970" w:type="dxa"/>
          </w:tcPr>
          <w:p w:rsidR="007A7F6E" w:rsidRPr="007A7F6E" w:rsidRDefault="007A7F6E" w:rsidP="002D5655">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84591">
              <w:rPr>
                <w:szCs w:val="24"/>
              </w:rPr>
              <w:t>Expand Student Success (AC Strategic Plan 1.5.3.1)</w:t>
            </w:r>
          </w:p>
        </w:tc>
        <w:tc>
          <w:tcPr>
            <w:tcW w:w="5130" w:type="dxa"/>
          </w:tcPr>
          <w:p w:rsidR="007A7F6E" w:rsidRPr="007A7F6E" w:rsidRDefault="007A7F6E" w:rsidP="007A7F6E">
            <w:pPr>
              <w:jc w:val="left"/>
              <w:cnfStyle w:val="000000000000" w:firstRow="0" w:lastRow="0" w:firstColumn="0" w:lastColumn="0" w:oddVBand="0" w:evenVBand="0" w:oddHBand="0" w:evenHBand="0" w:firstRowFirstColumn="0" w:firstRowLastColumn="0" w:lastRowFirstColumn="0" w:lastRowLastColumn="0"/>
              <w:rPr>
                <w:sz w:val="20"/>
                <w:szCs w:val="20"/>
              </w:rPr>
            </w:pPr>
            <w:r w:rsidRPr="007A7F6E">
              <w:rPr>
                <w:sz w:val="20"/>
                <w:szCs w:val="20"/>
              </w:rPr>
              <w:t xml:space="preserve">Approx. $12,000/every 2 years or so as newer versions of software and equipment become available. Continued support from </w:t>
            </w:r>
            <w:proofErr w:type="gramStart"/>
            <w:r w:rsidRPr="007A7F6E">
              <w:rPr>
                <w:sz w:val="20"/>
                <w:szCs w:val="20"/>
              </w:rPr>
              <w:t>ITS</w:t>
            </w:r>
            <w:proofErr w:type="gramEnd"/>
            <w:r w:rsidRPr="007A7F6E">
              <w:rPr>
                <w:sz w:val="20"/>
                <w:szCs w:val="20"/>
              </w:rPr>
              <w:t xml:space="preserve"> for computer hardware replacement.  Need for up-to-date software applications, computer hardware and photo equipment to ensure students will be trained on those applications and equipment used in the industry as recommended by the advisory committee.  </w:t>
            </w:r>
          </w:p>
        </w:tc>
        <w:tc>
          <w:tcPr>
            <w:tcW w:w="1638" w:type="dxa"/>
          </w:tcPr>
          <w:p w:rsidR="007A7F6E" w:rsidRPr="007A7F6E" w:rsidRDefault="007A7F6E" w:rsidP="002D5655">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bl>
    <w:p w:rsidR="00524AD3" w:rsidRDefault="00524AD3" w:rsidP="00F32C05">
      <w:pPr>
        <w:jc w:val="left"/>
        <w:rPr>
          <w:rFonts w:cstheme="minorHAnsi"/>
        </w:rPr>
      </w:pPr>
    </w:p>
    <w:tbl>
      <w:tblPr>
        <w:tblStyle w:val="LightList-Accent1"/>
        <w:tblW w:w="10998" w:type="dxa"/>
        <w:tblLook w:val="04A0" w:firstRow="1" w:lastRow="0" w:firstColumn="1" w:lastColumn="0" w:noHBand="0" w:noVBand="1"/>
      </w:tblPr>
      <w:tblGrid>
        <w:gridCol w:w="1278"/>
        <w:gridCol w:w="4950"/>
        <w:gridCol w:w="4770"/>
      </w:tblGrid>
      <w:tr w:rsidR="007A7F6E" w:rsidRPr="00D54510" w:rsidTr="007A7F6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78" w:type="dxa"/>
          </w:tcPr>
          <w:p w:rsidR="007A7F6E" w:rsidRPr="00D54510" w:rsidRDefault="007A7F6E" w:rsidP="002D5655">
            <w:pPr>
              <w:jc w:val="left"/>
              <w:rPr>
                <w:rFonts w:cstheme="minorHAnsi"/>
                <w:b w:val="0"/>
              </w:rPr>
            </w:pPr>
            <w:r w:rsidRPr="00D54510">
              <w:rPr>
                <w:rFonts w:cstheme="minorHAnsi"/>
                <w:b w:val="0"/>
              </w:rPr>
              <w:t>Program</w:t>
            </w:r>
          </w:p>
        </w:tc>
        <w:tc>
          <w:tcPr>
            <w:tcW w:w="4950" w:type="dxa"/>
          </w:tcPr>
          <w:p w:rsidR="007A7F6E" w:rsidRPr="008805A2" w:rsidRDefault="007A7F6E"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8805A2">
              <w:rPr>
                <w:rFonts w:cstheme="minorHAnsi"/>
                <w:b w:val="0"/>
                <w:sz w:val="20"/>
                <w:szCs w:val="20"/>
              </w:rPr>
              <w:t xml:space="preserve">Goal or Outcome Related to Budget </w:t>
            </w:r>
          </w:p>
        </w:tc>
        <w:tc>
          <w:tcPr>
            <w:tcW w:w="4770" w:type="dxa"/>
          </w:tcPr>
          <w:p w:rsidR="007A7F6E" w:rsidRPr="00D54510" w:rsidRDefault="007A7F6E"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sidR="00841319">
              <w:rPr>
                <w:rFonts w:cstheme="minorHAnsi"/>
                <w:b w:val="0"/>
              </w:rPr>
              <w:t xml:space="preserve"> Past</w:t>
            </w:r>
            <w:r w:rsidRPr="00D54510">
              <w:rPr>
                <w:rFonts w:cstheme="minorHAnsi"/>
                <w:b w:val="0"/>
              </w:rPr>
              <w:t xml:space="preserve"> Budget</w:t>
            </w:r>
          </w:p>
        </w:tc>
      </w:tr>
      <w:tr w:rsidR="007A7F6E" w:rsidRPr="00D54510" w:rsidTr="007A7F6E">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1278" w:type="dxa"/>
          </w:tcPr>
          <w:p w:rsidR="007A7F6E" w:rsidRPr="007A7F6E" w:rsidRDefault="007A7F6E" w:rsidP="002D5655">
            <w:pPr>
              <w:jc w:val="left"/>
              <w:rPr>
                <w:rFonts w:cstheme="minorHAnsi"/>
                <w:b w:val="0"/>
                <w:sz w:val="20"/>
                <w:szCs w:val="20"/>
              </w:rPr>
            </w:pPr>
            <w:r>
              <w:rPr>
                <w:rFonts w:cstheme="minorHAnsi"/>
                <w:b w:val="0"/>
                <w:sz w:val="20"/>
                <w:szCs w:val="20"/>
              </w:rPr>
              <w:t>Renewable and Solar En</w:t>
            </w:r>
            <w:r w:rsidRPr="007A7F6E">
              <w:rPr>
                <w:rFonts w:cstheme="minorHAnsi"/>
                <w:b w:val="0"/>
                <w:sz w:val="20"/>
                <w:szCs w:val="20"/>
              </w:rPr>
              <w:t>ergy</w:t>
            </w:r>
          </w:p>
        </w:tc>
        <w:tc>
          <w:tcPr>
            <w:tcW w:w="4950" w:type="dxa"/>
          </w:tcPr>
          <w:p w:rsidR="007A7F6E" w:rsidRPr="007A7F6E" w:rsidRDefault="007A7F6E" w:rsidP="002D565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A7F6E">
              <w:rPr>
                <w:sz w:val="20"/>
                <w:szCs w:val="20"/>
              </w:rPr>
              <w:t>To develop a solar technician option in the Renewable Energy Program</w:t>
            </w:r>
          </w:p>
        </w:tc>
        <w:tc>
          <w:tcPr>
            <w:tcW w:w="4770" w:type="dxa"/>
          </w:tcPr>
          <w:p w:rsidR="007A7F6E" w:rsidRPr="007A7F6E" w:rsidRDefault="007A7F6E" w:rsidP="002D5655">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A7F6E">
              <w:rPr>
                <w:sz w:val="20"/>
                <w:szCs w:val="20"/>
              </w:rPr>
              <w:t>Provided in NSF Grant</w:t>
            </w:r>
          </w:p>
        </w:tc>
      </w:tr>
    </w:tbl>
    <w:p w:rsidR="007A7F6E" w:rsidRDefault="007A7F6E" w:rsidP="00F32C05">
      <w:pPr>
        <w:jc w:val="left"/>
        <w:rPr>
          <w:rFonts w:cstheme="minorHAnsi"/>
        </w:rPr>
      </w:pPr>
    </w:p>
    <w:tbl>
      <w:tblPr>
        <w:tblStyle w:val="LightList-Accent1"/>
        <w:tblW w:w="11016" w:type="dxa"/>
        <w:tblLook w:val="04A0" w:firstRow="1" w:lastRow="0" w:firstColumn="1" w:lastColumn="0" w:noHBand="0" w:noVBand="1"/>
      </w:tblPr>
      <w:tblGrid>
        <w:gridCol w:w="1428"/>
        <w:gridCol w:w="3090"/>
        <w:gridCol w:w="2880"/>
        <w:gridCol w:w="3618"/>
      </w:tblGrid>
      <w:tr w:rsidR="00306CAA" w:rsidRPr="00D54510" w:rsidTr="00363D95">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28" w:type="dxa"/>
          </w:tcPr>
          <w:p w:rsidR="00306CAA" w:rsidRPr="00841319" w:rsidRDefault="00306CAA" w:rsidP="00363D95">
            <w:pPr>
              <w:jc w:val="left"/>
              <w:rPr>
                <w:rFonts w:cstheme="minorHAnsi"/>
                <w:b w:val="0"/>
              </w:rPr>
            </w:pPr>
            <w:r w:rsidRPr="00841319">
              <w:rPr>
                <w:rFonts w:cstheme="minorHAnsi"/>
                <w:b w:val="0"/>
              </w:rPr>
              <w:t>Program</w:t>
            </w:r>
          </w:p>
        </w:tc>
        <w:tc>
          <w:tcPr>
            <w:tcW w:w="3090" w:type="dxa"/>
          </w:tcPr>
          <w:p w:rsidR="00306CAA" w:rsidRPr="00841319" w:rsidRDefault="00306CAA" w:rsidP="00363D9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841319">
              <w:rPr>
                <w:rFonts w:cstheme="minorHAnsi"/>
                <w:b w:val="0"/>
              </w:rPr>
              <w:t xml:space="preserve">Goal or Outcome Related to Budget </w:t>
            </w:r>
          </w:p>
        </w:tc>
        <w:tc>
          <w:tcPr>
            <w:tcW w:w="2880" w:type="dxa"/>
          </w:tcPr>
          <w:p w:rsidR="00306CAA" w:rsidRPr="00841319" w:rsidRDefault="00306CAA" w:rsidP="00363D9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841319">
              <w:rPr>
                <w:rFonts w:cstheme="minorHAnsi"/>
                <w:b w:val="0"/>
              </w:rPr>
              <w:t>Budget Information (Requests/Needs)</w:t>
            </w:r>
          </w:p>
        </w:tc>
        <w:tc>
          <w:tcPr>
            <w:tcW w:w="3618" w:type="dxa"/>
          </w:tcPr>
          <w:p w:rsidR="00306CAA" w:rsidRPr="00841319" w:rsidRDefault="00306CAA" w:rsidP="00363D9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841319">
              <w:rPr>
                <w:rFonts w:cstheme="minorHAnsi"/>
                <w:b w:val="0"/>
              </w:rPr>
              <w:t xml:space="preserve">Information Linked to </w:t>
            </w:r>
            <w:r>
              <w:rPr>
                <w:rFonts w:cstheme="minorHAnsi"/>
                <w:b w:val="0"/>
              </w:rPr>
              <w:t xml:space="preserve">Past </w:t>
            </w:r>
            <w:r w:rsidRPr="00841319">
              <w:rPr>
                <w:rFonts w:cstheme="minorHAnsi"/>
                <w:b w:val="0"/>
              </w:rPr>
              <w:t>Budget</w:t>
            </w:r>
          </w:p>
        </w:tc>
      </w:tr>
      <w:tr w:rsidR="00306CAA" w:rsidRPr="00D54510" w:rsidTr="00363D95">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1428" w:type="dxa"/>
          </w:tcPr>
          <w:p w:rsidR="00306CAA" w:rsidRPr="00CC0A76" w:rsidRDefault="00306CAA" w:rsidP="00363D95">
            <w:pPr>
              <w:jc w:val="left"/>
              <w:rPr>
                <w:rFonts w:cstheme="minorHAnsi"/>
                <w:b w:val="0"/>
                <w:sz w:val="20"/>
                <w:szCs w:val="20"/>
              </w:rPr>
            </w:pPr>
            <w:r w:rsidRPr="00CC0A76">
              <w:rPr>
                <w:rFonts w:cstheme="minorHAnsi"/>
                <w:b w:val="0"/>
                <w:sz w:val="20"/>
                <w:szCs w:val="20"/>
              </w:rPr>
              <w:t>Office Administration</w:t>
            </w:r>
          </w:p>
        </w:tc>
        <w:tc>
          <w:tcPr>
            <w:tcW w:w="3090" w:type="dxa"/>
          </w:tcPr>
          <w:p w:rsidR="00306CAA" w:rsidRPr="00CC0A76" w:rsidRDefault="00306CAA" w:rsidP="00363D9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C0A76">
              <w:rPr>
                <w:sz w:val="20"/>
                <w:szCs w:val="20"/>
              </w:rPr>
              <w:t>Adequately prepare students with proficient skills and knowledge (</w:t>
            </w:r>
            <w:r w:rsidRPr="00CC0A76">
              <w:rPr>
                <w:i/>
                <w:sz w:val="20"/>
                <w:szCs w:val="20"/>
              </w:rPr>
              <w:t>AC Strategic Plan through 2015: Strategy 1.4.1 and 1.5.3)</w:t>
            </w:r>
            <w:r w:rsidRPr="00CC0A76">
              <w:rPr>
                <w:sz w:val="20"/>
                <w:szCs w:val="20"/>
              </w:rPr>
              <w:t>.</w:t>
            </w:r>
          </w:p>
        </w:tc>
        <w:tc>
          <w:tcPr>
            <w:tcW w:w="2880" w:type="dxa"/>
          </w:tcPr>
          <w:p w:rsidR="00306CAA" w:rsidRPr="00CC0A76" w:rsidRDefault="00306CAA" w:rsidP="00363D95">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CC0A76">
              <w:rPr>
                <w:sz w:val="20"/>
                <w:szCs w:val="20"/>
              </w:rPr>
              <w:t>Cost of lunch for participating Advisory Committee members.</w:t>
            </w:r>
          </w:p>
        </w:tc>
        <w:tc>
          <w:tcPr>
            <w:tcW w:w="3618" w:type="dxa"/>
          </w:tcPr>
          <w:p w:rsidR="00306CAA" w:rsidRPr="00CC0A76" w:rsidRDefault="00306CAA" w:rsidP="00363D95">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CC0A76">
              <w:rPr>
                <w:sz w:val="20"/>
                <w:szCs w:val="20"/>
              </w:rPr>
              <w:t>Advisory board discussion of issues: Cost of lunch for participating Advisory Committee members. Based on previous years, we estimate costs (including postage, food, and printing) at approximately $125.</w:t>
            </w:r>
          </w:p>
        </w:tc>
      </w:tr>
    </w:tbl>
    <w:p w:rsidR="00306CAA" w:rsidRDefault="00306CAA" w:rsidP="00F32C05">
      <w:pPr>
        <w:jc w:val="left"/>
        <w:rPr>
          <w:rFonts w:cstheme="minorHAnsi"/>
        </w:rPr>
      </w:pPr>
    </w:p>
    <w:tbl>
      <w:tblPr>
        <w:tblStyle w:val="LightList-Accent1"/>
        <w:tblW w:w="10998" w:type="dxa"/>
        <w:tblLook w:val="04A0" w:firstRow="1" w:lastRow="0" w:firstColumn="1" w:lastColumn="0" w:noHBand="0" w:noVBand="1"/>
      </w:tblPr>
      <w:tblGrid>
        <w:gridCol w:w="1278"/>
        <w:gridCol w:w="6390"/>
        <w:gridCol w:w="3330"/>
      </w:tblGrid>
      <w:tr w:rsidR="007A7F6E" w:rsidRPr="00D54510" w:rsidTr="007A7F6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278" w:type="dxa"/>
          </w:tcPr>
          <w:p w:rsidR="007A7F6E" w:rsidRPr="00D54510" w:rsidRDefault="007A7F6E" w:rsidP="002D5655">
            <w:pPr>
              <w:jc w:val="left"/>
              <w:rPr>
                <w:rFonts w:cstheme="minorHAnsi"/>
                <w:b w:val="0"/>
              </w:rPr>
            </w:pPr>
            <w:r w:rsidRPr="00D54510">
              <w:rPr>
                <w:rFonts w:cstheme="minorHAnsi"/>
                <w:b w:val="0"/>
              </w:rPr>
              <w:lastRenderedPageBreak/>
              <w:t>Program</w:t>
            </w:r>
          </w:p>
        </w:tc>
        <w:tc>
          <w:tcPr>
            <w:tcW w:w="6390" w:type="dxa"/>
          </w:tcPr>
          <w:p w:rsidR="007A7F6E" w:rsidRPr="008805A2" w:rsidRDefault="007A7F6E"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8805A2">
              <w:rPr>
                <w:rFonts w:cstheme="minorHAnsi"/>
                <w:b w:val="0"/>
                <w:sz w:val="20"/>
                <w:szCs w:val="20"/>
              </w:rPr>
              <w:t xml:space="preserve">Goal or Outcome Related to Budget </w:t>
            </w:r>
          </w:p>
        </w:tc>
        <w:tc>
          <w:tcPr>
            <w:tcW w:w="3330" w:type="dxa"/>
          </w:tcPr>
          <w:p w:rsidR="007A7F6E" w:rsidRPr="00D54510" w:rsidRDefault="007A7F6E" w:rsidP="002D5655">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Budget Information (Requests/Needs)</w:t>
            </w:r>
          </w:p>
        </w:tc>
      </w:tr>
      <w:tr w:rsidR="007A7F6E" w:rsidRPr="00D54510" w:rsidTr="007A7F6E">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1278" w:type="dxa"/>
          </w:tcPr>
          <w:p w:rsidR="007A7F6E" w:rsidRPr="007A7F6E" w:rsidRDefault="007A7F6E" w:rsidP="002D5655">
            <w:pPr>
              <w:jc w:val="left"/>
              <w:rPr>
                <w:rFonts w:cstheme="minorHAnsi"/>
                <w:b w:val="0"/>
                <w:sz w:val="20"/>
                <w:szCs w:val="20"/>
              </w:rPr>
            </w:pPr>
            <w:r w:rsidRPr="007A7F6E">
              <w:rPr>
                <w:rFonts w:cstheme="minorHAnsi"/>
                <w:b w:val="0"/>
                <w:sz w:val="20"/>
                <w:szCs w:val="20"/>
              </w:rPr>
              <w:t>Solar</w:t>
            </w:r>
          </w:p>
        </w:tc>
        <w:tc>
          <w:tcPr>
            <w:tcW w:w="6390" w:type="dxa"/>
          </w:tcPr>
          <w:p w:rsidR="007A7F6E" w:rsidRPr="007A7F6E" w:rsidRDefault="007A7F6E" w:rsidP="002D5655">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A7F6E">
              <w:rPr>
                <w:sz w:val="20"/>
                <w:szCs w:val="20"/>
              </w:rPr>
              <w:t>Standardize curriculum by getting industrial seal of approval such as the AWEA (American Wind Energy Association), ISA (Industrial Society of America) or other industry seal of approval.</w:t>
            </w:r>
          </w:p>
        </w:tc>
        <w:tc>
          <w:tcPr>
            <w:tcW w:w="3330" w:type="dxa"/>
          </w:tcPr>
          <w:p w:rsidR="007A7F6E" w:rsidRPr="007A7F6E" w:rsidRDefault="007A7F6E" w:rsidP="002D5655">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7A7F6E">
              <w:rPr>
                <w:sz w:val="20"/>
                <w:szCs w:val="20"/>
              </w:rPr>
              <w:t>$5000 – Steps Taken to Achieve Certification</w:t>
            </w:r>
          </w:p>
        </w:tc>
      </w:tr>
      <w:tr w:rsidR="007A7F6E" w:rsidRPr="00D54510" w:rsidTr="007A7F6E">
        <w:trPr>
          <w:trHeight w:val="817"/>
        </w:trPr>
        <w:tc>
          <w:tcPr>
            <w:cnfStyle w:val="001000000000" w:firstRow="0" w:lastRow="0" w:firstColumn="1" w:lastColumn="0" w:oddVBand="0" w:evenVBand="0" w:oddHBand="0" w:evenHBand="0" w:firstRowFirstColumn="0" w:firstRowLastColumn="0" w:lastRowFirstColumn="0" w:lastRowLastColumn="0"/>
            <w:tcW w:w="1278" w:type="dxa"/>
          </w:tcPr>
          <w:p w:rsidR="007A7F6E" w:rsidRPr="007A7F6E" w:rsidRDefault="007A7F6E" w:rsidP="002D5655">
            <w:pPr>
              <w:jc w:val="left"/>
              <w:rPr>
                <w:rFonts w:cstheme="minorHAnsi"/>
                <w:b w:val="0"/>
                <w:sz w:val="20"/>
                <w:szCs w:val="20"/>
              </w:rPr>
            </w:pPr>
            <w:r w:rsidRPr="007A7F6E">
              <w:rPr>
                <w:rFonts w:cstheme="minorHAnsi"/>
                <w:b w:val="0"/>
                <w:sz w:val="20"/>
                <w:szCs w:val="20"/>
              </w:rPr>
              <w:t>Solar</w:t>
            </w:r>
          </w:p>
        </w:tc>
        <w:tc>
          <w:tcPr>
            <w:tcW w:w="6390" w:type="dxa"/>
          </w:tcPr>
          <w:p w:rsidR="007A7F6E" w:rsidRPr="007A7F6E" w:rsidRDefault="007A7F6E" w:rsidP="002D5655">
            <w:pPr>
              <w:jc w:val="left"/>
              <w:cnfStyle w:val="000000000000" w:firstRow="0" w:lastRow="0" w:firstColumn="0" w:lastColumn="0" w:oddVBand="0" w:evenVBand="0" w:oddHBand="0" w:evenHBand="0" w:firstRowFirstColumn="0" w:firstRowLastColumn="0" w:lastRowFirstColumn="0" w:lastRowLastColumn="0"/>
              <w:rPr>
                <w:sz w:val="20"/>
                <w:szCs w:val="20"/>
              </w:rPr>
            </w:pPr>
            <w:r w:rsidRPr="007A7F6E">
              <w:rPr>
                <w:sz w:val="20"/>
                <w:szCs w:val="20"/>
              </w:rPr>
              <w:t>Combine training equipment of courses shared by Instrumentation, Renewable Energy and Electronics.  Use new technology in all areas.   Share common equipment and develop schedules and activities for each piece of equipment. Fully utilize training equipment during courses and labs. Integrate new technology i.e. SCADA in both instrumentation and renewable energy classes. Incorporate simulation into courses where technology is satisfactory for replacement of physical equipment. Continue to upgrade curriculum to meet the needs of industry.</w:t>
            </w:r>
          </w:p>
        </w:tc>
        <w:tc>
          <w:tcPr>
            <w:tcW w:w="3330" w:type="dxa"/>
          </w:tcPr>
          <w:p w:rsidR="007A7F6E" w:rsidRPr="007A7F6E" w:rsidRDefault="007A7F6E" w:rsidP="002D5655">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t>$20,000  - Provide faculty training to provide for a unified educational foundation for students</w:t>
            </w:r>
          </w:p>
        </w:tc>
      </w:tr>
      <w:tr w:rsidR="007A7F6E" w:rsidRPr="00D54510" w:rsidTr="007A7F6E">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1278" w:type="dxa"/>
          </w:tcPr>
          <w:p w:rsidR="007A7F6E" w:rsidRPr="00CC0A76" w:rsidRDefault="007A7F6E" w:rsidP="002D5655">
            <w:pPr>
              <w:jc w:val="left"/>
              <w:rPr>
                <w:rFonts w:cstheme="minorHAnsi"/>
                <w:b w:val="0"/>
                <w:sz w:val="20"/>
                <w:szCs w:val="20"/>
              </w:rPr>
            </w:pPr>
            <w:r w:rsidRPr="00CC0A76">
              <w:rPr>
                <w:rFonts w:cstheme="minorHAnsi"/>
                <w:b w:val="0"/>
                <w:sz w:val="20"/>
                <w:szCs w:val="20"/>
              </w:rPr>
              <w:t>Solar</w:t>
            </w:r>
          </w:p>
        </w:tc>
        <w:tc>
          <w:tcPr>
            <w:tcW w:w="6390" w:type="dxa"/>
          </w:tcPr>
          <w:p w:rsidR="007A7F6E" w:rsidRPr="00CC0A76" w:rsidRDefault="00CC0A76" w:rsidP="002D5655">
            <w:pPr>
              <w:jc w:val="left"/>
              <w:cnfStyle w:val="000000100000" w:firstRow="0" w:lastRow="0" w:firstColumn="0" w:lastColumn="0" w:oddVBand="0" w:evenVBand="0" w:oddHBand="1" w:evenHBand="0" w:firstRowFirstColumn="0" w:firstRowLastColumn="0" w:lastRowFirstColumn="0" w:lastRowLastColumn="0"/>
              <w:rPr>
                <w:sz w:val="20"/>
                <w:szCs w:val="20"/>
              </w:rPr>
            </w:pPr>
            <w:r w:rsidRPr="00CC0A76">
              <w:rPr>
                <w:sz w:val="20"/>
                <w:szCs w:val="20"/>
              </w:rPr>
              <w:t>Develop industrial partnerships for employment opportunities and support for programs.</w:t>
            </w:r>
          </w:p>
        </w:tc>
        <w:tc>
          <w:tcPr>
            <w:tcW w:w="3330" w:type="dxa"/>
          </w:tcPr>
          <w:p w:rsidR="007A7F6E" w:rsidRPr="00CC0A76" w:rsidRDefault="00CC0A76" w:rsidP="002D5655">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CC0A76">
              <w:rPr>
                <w:sz w:val="20"/>
                <w:szCs w:val="20"/>
              </w:rPr>
              <w:t>$2,000 - Visit with industry, develop contact information, seek out industry support and corporation for the program.</w:t>
            </w:r>
          </w:p>
        </w:tc>
      </w:tr>
    </w:tbl>
    <w:p w:rsidR="007A7F6E" w:rsidRDefault="007A7F6E" w:rsidP="00F32C05">
      <w:pPr>
        <w:jc w:val="left"/>
        <w:rPr>
          <w:rFonts w:cstheme="minorHAnsi"/>
        </w:rPr>
      </w:pPr>
    </w:p>
    <w:p w:rsidR="00CC0A76" w:rsidRDefault="00CC0A76" w:rsidP="00F32C05">
      <w:pPr>
        <w:jc w:val="left"/>
        <w:rPr>
          <w:rFonts w:cstheme="minorHAnsi"/>
        </w:rPr>
      </w:pPr>
    </w:p>
    <w:p w:rsidR="00185F55" w:rsidRDefault="00185F55">
      <w:pPr>
        <w:rPr>
          <w:rFonts w:cstheme="minorHAnsi"/>
        </w:rPr>
      </w:pPr>
      <w:r>
        <w:rPr>
          <w:rFonts w:cstheme="minorHAnsi"/>
        </w:rPr>
        <w:br w:type="page"/>
      </w:r>
    </w:p>
    <w:p w:rsidR="00185F55" w:rsidRDefault="00185F55" w:rsidP="00185F55">
      <w:pPr>
        <w:jc w:val="left"/>
        <w:rPr>
          <w:rFonts w:cstheme="minorHAnsi"/>
          <w:b/>
        </w:rPr>
      </w:pPr>
      <w:bookmarkStart w:id="2" w:name="Twenty_Ten"/>
      <w:r w:rsidRPr="00D54510">
        <w:rPr>
          <w:rFonts w:cstheme="minorHAnsi"/>
          <w:b/>
          <w:u w:val="single"/>
        </w:rPr>
        <w:lastRenderedPageBreak/>
        <w:t>201</w:t>
      </w:r>
      <w:r>
        <w:rPr>
          <w:rFonts w:cstheme="minorHAnsi"/>
          <w:b/>
          <w:u w:val="single"/>
        </w:rPr>
        <w:t>0</w:t>
      </w:r>
      <w:r w:rsidRPr="00D54510">
        <w:rPr>
          <w:rFonts w:cstheme="minorHAnsi"/>
          <w:b/>
          <w:u w:val="single"/>
        </w:rPr>
        <w:t>-201</w:t>
      </w:r>
      <w:r>
        <w:rPr>
          <w:rFonts w:cstheme="minorHAnsi"/>
          <w:b/>
          <w:u w:val="single"/>
        </w:rPr>
        <w:t xml:space="preserve">1 </w:t>
      </w:r>
    </w:p>
    <w:bookmarkEnd w:id="2"/>
    <w:p w:rsidR="00E4181C" w:rsidRPr="008458FC" w:rsidRDefault="00185F55" w:rsidP="00185F55">
      <w:pPr>
        <w:jc w:val="left"/>
        <w:rPr>
          <w:rFonts w:cstheme="minorHAnsi"/>
          <w:sz w:val="20"/>
          <w:szCs w:val="20"/>
        </w:rPr>
      </w:pPr>
      <w:r w:rsidRPr="008458FC">
        <w:rPr>
          <w:rFonts w:cstheme="minorHAnsi"/>
          <w:sz w:val="20"/>
          <w:szCs w:val="20"/>
        </w:rPr>
        <w:t xml:space="preserve">These Instructional PET form examples are taken from the final version of the 2010-2011 PET forms. </w:t>
      </w:r>
    </w:p>
    <w:p w:rsidR="00185F55" w:rsidRDefault="00185F55" w:rsidP="00185F55">
      <w:pPr>
        <w:jc w:val="left"/>
        <w:rPr>
          <w:rFonts w:cstheme="minorHAnsi"/>
          <w:sz w:val="20"/>
          <w:szCs w:val="20"/>
        </w:rPr>
      </w:pPr>
      <w:r w:rsidRPr="008458FC">
        <w:rPr>
          <w:rFonts w:cstheme="minorHAnsi"/>
          <w:b/>
          <w:sz w:val="20"/>
          <w:szCs w:val="20"/>
        </w:rPr>
        <w:t>NOTE:</w:t>
      </w:r>
      <w:r w:rsidRPr="008458FC">
        <w:rPr>
          <w:rFonts w:cstheme="minorHAnsi"/>
          <w:sz w:val="20"/>
          <w:szCs w:val="20"/>
        </w:rPr>
        <w:t xml:space="preserve"> Budget was not a separate component area for PET forms submitted before the 2011-2012 year</w:t>
      </w:r>
      <w:r w:rsidR="00E4181C" w:rsidRPr="008458FC">
        <w:rPr>
          <w:rFonts w:cstheme="minorHAnsi"/>
          <w:sz w:val="20"/>
          <w:szCs w:val="20"/>
        </w:rPr>
        <w:t xml:space="preserve"> so although the PET forms </w:t>
      </w:r>
      <w:r w:rsidR="008458FC">
        <w:rPr>
          <w:rFonts w:cstheme="minorHAnsi"/>
          <w:sz w:val="20"/>
          <w:szCs w:val="20"/>
        </w:rPr>
        <w:t>contain information that potentially relates</w:t>
      </w:r>
      <w:r w:rsidR="00E4181C" w:rsidRPr="008458FC">
        <w:rPr>
          <w:rFonts w:cstheme="minorHAnsi"/>
          <w:sz w:val="20"/>
          <w:szCs w:val="20"/>
        </w:rPr>
        <w:t xml:space="preserve"> to budgetary information (e.g.  Theatre Arts</w:t>
      </w:r>
      <w:r w:rsidR="008458FC">
        <w:rPr>
          <w:rFonts w:cstheme="minorHAnsi"/>
          <w:sz w:val="20"/>
          <w:szCs w:val="20"/>
        </w:rPr>
        <w:t>’ PET form</w:t>
      </w:r>
      <w:r w:rsidR="00E4181C" w:rsidRPr="008458FC">
        <w:rPr>
          <w:rFonts w:cstheme="minorHAnsi"/>
          <w:sz w:val="20"/>
          <w:szCs w:val="20"/>
        </w:rPr>
        <w:t xml:space="preserve"> included information about juries), </w:t>
      </w:r>
      <w:r w:rsidR="008458FC">
        <w:rPr>
          <w:rFonts w:cstheme="minorHAnsi"/>
          <w:sz w:val="20"/>
          <w:szCs w:val="20"/>
        </w:rPr>
        <w:t xml:space="preserve">no </w:t>
      </w:r>
      <w:r w:rsidR="00E4181C" w:rsidRPr="008458FC">
        <w:rPr>
          <w:rFonts w:cstheme="minorHAnsi"/>
          <w:sz w:val="20"/>
          <w:szCs w:val="20"/>
        </w:rPr>
        <w:t>budgetary information was included on the PET forms.</w:t>
      </w:r>
    </w:p>
    <w:p w:rsidR="008458FC" w:rsidRPr="008458FC" w:rsidRDefault="008458FC" w:rsidP="00185F55">
      <w:pPr>
        <w:jc w:val="left"/>
        <w:rPr>
          <w:rFonts w:cstheme="minorHAnsi"/>
          <w:sz w:val="20"/>
          <w:szCs w:val="20"/>
        </w:rPr>
      </w:pPr>
    </w:p>
    <w:tbl>
      <w:tblPr>
        <w:tblStyle w:val="LightList-Accent1"/>
        <w:tblW w:w="11016" w:type="dxa"/>
        <w:tblLook w:val="04A0" w:firstRow="1" w:lastRow="0" w:firstColumn="1" w:lastColumn="0" w:noHBand="0" w:noVBand="1"/>
      </w:tblPr>
      <w:tblGrid>
        <w:gridCol w:w="1428"/>
        <w:gridCol w:w="1740"/>
        <w:gridCol w:w="2340"/>
        <w:gridCol w:w="5508"/>
      </w:tblGrid>
      <w:tr w:rsidR="00185F55" w:rsidRPr="00D54510" w:rsidTr="00B40A15">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28" w:type="dxa"/>
          </w:tcPr>
          <w:p w:rsidR="00185F55" w:rsidRPr="00841319" w:rsidRDefault="00185F55" w:rsidP="006626BE">
            <w:pPr>
              <w:jc w:val="left"/>
              <w:rPr>
                <w:rFonts w:cstheme="minorHAnsi"/>
                <w:b w:val="0"/>
              </w:rPr>
            </w:pPr>
            <w:r w:rsidRPr="00841319">
              <w:rPr>
                <w:rFonts w:cstheme="minorHAnsi"/>
                <w:b w:val="0"/>
              </w:rPr>
              <w:t>Program</w:t>
            </w:r>
          </w:p>
        </w:tc>
        <w:tc>
          <w:tcPr>
            <w:tcW w:w="1740" w:type="dxa"/>
          </w:tcPr>
          <w:p w:rsidR="00185F55" w:rsidRPr="00841319" w:rsidRDefault="00185F55"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841319">
              <w:rPr>
                <w:rFonts w:cstheme="minorHAnsi"/>
                <w:b w:val="0"/>
              </w:rPr>
              <w:t xml:space="preserve">Goal or Outcome Related to Budget </w:t>
            </w:r>
          </w:p>
        </w:tc>
        <w:tc>
          <w:tcPr>
            <w:tcW w:w="2340" w:type="dxa"/>
          </w:tcPr>
          <w:p w:rsidR="00185F55" w:rsidRPr="00841319" w:rsidRDefault="00185F55"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841319">
              <w:rPr>
                <w:rFonts w:cstheme="minorHAnsi"/>
                <w:b w:val="0"/>
              </w:rPr>
              <w:t>Budget Information (Requests/Needs)</w:t>
            </w:r>
          </w:p>
        </w:tc>
        <w:tc>
          <w:tcPr>
            <w:tcW w:w="5508" w:type="dxa"/>
          </w:tcPr>
          <w:p w:rsidR="00185F55" w:rsidRPr="00841319" w:rsidRDefault="00185F55"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841319">
              <w:rPr>
                <w:rFonts w:cstheme="minorHAnsi"/>
                <w:b w:val="0"/>
              </w:rPr>
              <w:t xml:space="preserve">Information Linked to </w:t>
            </w:r>
            <w:r>
              <w:rPr>
                <w:rFonts w:cstheme="minorHAnsi"/>
                <w:b w:val="0"/>
              </w:rPr>
              <w:t xml:space="preserve">Past </w:t>
            </w:r>
            <w:r w:rsidRPr="00841319">
              <w:rPr>
                <w:rFonts w:cstheme="minorHAnsi"/>
                <w:b w:val="0"/>
              </w:rPr>
              <w:t>Budget</w:t>
            </w:r>
          </w:p>
        </w:tc>
      </w:tr>
      <w:tr w:rsidR="00185F55" w:rsidRPr="00D54510" w:rsidTr="00B40A15">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1428" w:type="dxa"/>
          </w:tcPr>
          <w:p w:rsidR="00185F55" w:rsidRPr="00CC0A76" w:rsidRDefault="00185F55" w:rsidP="00185F55">
            <w:pPr>
              <w:jc w:val="left"/>
              <w:rPr>
                <w:rFonts w:cstheme="minorHAnsi"/>
                <w:b w:val="0"/>
                <w:sz w:val="20"/>
                <w:szCs w:val="20"/>
              </w:rPr>
            </w:pPr>
            <w:r>
              <w:rPr>
                <w:rFonts w:cstheme="minorHAnsi"/>
                <w:b w:val="0"/>
                <w:sz w:val="20"/>
                <w:szCs w:val="20"/>
              </w:rPr>
              <w:t>Child Development/ Early Childhood</w:t>
            </w:r>
          </w:p>
        </w:tc>
        <w:tc>
          <w:tcPr>
            <w:tcW w:w="1740" w:type="dxa"/>
          </w:tcPr>
          <w:p w:rsidR="00185F55" w:rsidRPr="00CC0A76" w:rsidRDefault="00185F55" w:rsidP="006626BE">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F55">
              <w:rPr>
                <w:rFonts w:cstheme="minorHAnsi"/>
                <w:sz w:val="20"/>
                <w:szCs w:val="20"/>
              </w:rPr>
              <w:t>Build community partnerships to strengthen resources for families and agencies working with young children.</w:t>
            </w:r>
          </w:p>
        </w:tc>
        <w:tc>
          <w:tcPr>
            <w:tcW w:w="2340" w:type="dxa"/>
          </w:tcPr>
          <w:p w:rsidR="00185F55" w:rsidRPr="00CC0A76" w:rsidRDefault="00185F55" w:rsidP="006626BE">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185F55">
              <w:rPr>
                <w:sz w:val="20"/>
                <w:szCs w:val="20"/>
              </w:rPr>
              <w:t xml:space="preserve">Offer conferences for management credit hours in the summer that will add funds to the </w:t>
            </w:r>
            <w:proofErr w:type="spellStart"/>
            <w:r w:rsidRPr="00185F55">
              <w:rPr>
                <w:sz w:val="20"/>
                <w:szCs w:val="20"/>
              </w:rPr>
              <w:t>Melonye</w:t>
            </w:r>
            <w:proofErr w:type="spellEnd"/>
            <w:r w:rsidRPr="00185F55">
              <w:rPr>
                <w:sz w:val="20"/>
                <w:szCs w:val="20"/>
              </w:rPr>
              <w:t xml:space="preserve"> Curtis Scholarship at the AC Foundation.</w:t>
            </w:r>
          </w:p>
        </w:tc>
        <w:tc>
          <w:tcPr>
            <w:tcW w:w="5508" w:type="dxa"/>
          </w:tcPr>
          <w:p w:rsidR="00185F55" w:rsidRPr="00CC0A76" w:rsidRDefault="00185F55" w:rsidP="006626BE">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185F55">
              <w:rPr>
                <w:sz w:val="20"/>
                <w:szCs w:val="20"/>
              </w:rPr>
              <w:t xml:space="preserve">Partnerships in the community supported early childhood training and education goals with an investment of $1500. These dollars were raised to create a scholarship for education students at the Mayor's Breakfast for Friends of Young Children on April 30, 2010. The scholarship in called the Bruce Beck Scholarship and will be sustained by fund raising by the TEACH club in the future years. On July 27th the </w:t>
            </w:r>
            <w:proofErr w:type="spellStart"/>
            <w:r w:rsidRPr="00185F55">
              <w:rPr>
                <w:sz w:val="20"/>
                <w:szCs w:val="20"/>
              </w:rPr>
              <w:t>Melonye</w:t>
            </w:r>
            <w:proofErr w:type="spellEnd"/>
            <w:r w:rsidRPr="00185F55">
              <w:rPr>
                <w:sz w:val="20"/>
                <w:szCs w:val="20"/>
              </w:rPr>
              <w:t xml:space="preserve"> Curtis Memorial Conference raised $800.00 to add to the </w:t>
            </w:r>
            <w:proofErr w:type="spellStart"/>
            <w:r w:rsidRPr="00185F55">
              <w:rPr>
                <w:sz w:val="20"/>
                <w:szCs w:val="20"/>
              </w:rPr>
              <w:t>Melonye</w:t>
            </w:r>
            <w:proofErr w:type="spellEnd"/>
            <w:r w:rsidRPr="00185F55">
              <w:rPr>
                <w:sz w:val="20"/>
                <w:szCs w:val="20"/>
              </w:rPr>
              <w:t xml:space="preserve"> Curtis Scholarship for the Child Development majors</w:t>
            </w:r>
            <w:r>
              <w:rPr>
                <w:sz w:val="20"/>
                <w:szCs w:val="20"/>
              </w:rPr>
              <w:t>.</w:t>
            </w:r>
          </w:p>
        </w:tc>
      </w:tr>
    </w:tbl>
    <w:p w:rsidR="00185F55" w:rsidRPr="00185F55" w:rsidRDefault="00185F55" w:rsidP="00185F55">
      <w:pPr>
        <w:jc w:val="left"/>
        <w:rPr>
          <w:rFonts w:cstheme="minorHAnsi"/>
          <w:b/>
          <w:sz w:val="20"/>
          <w:szCs w:val="20"/>
        </w:rPr>
      </w:pPr>
    </w:p>
    <w:tbl>
      <w:tblPr>
        <w:tblStyle w:val="LightList-Accent1"/>
        <w:tblW w:w="10998" w:type="dxa"/>
        <w:tblLook w:val="04A0" w:firstRow="1" w:lastRow="0" w:firstColumn="1" w:lastColumn="0" w:noHBand="0" w:noVBand="1"/>
      </w:tblPr>
      <w:tblGrid>
        <w:gridCol w:w="1428"/>
        <w:gridCol w:w="3990"/>
        <w:gridCol w:w="90"/>
        <w:gridCol w:w="5490"/>
      </w:tblGrid>
      <w:tr w:rsidR="00E4181C" w:rsidRPr="00D54510" w:rsidTr="00B40A15">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28" w:type="dxa"/>
          </w:tcPr>
          <w:p w:rsidR="00E4181C" w:rsidRPr="00841319" w:rsidRDefault="00E4181C" w:rsidP="006626BE">
            <w:pPr>
              <w:jc w:val="left"/>
              <w:rPr>
                <w:rFonts w:cstheme="minorHAnsi"/>
                <w:b w:val="0"/>
              </w:rPr>
            </w:pPr>
            <w:r w:rsidRPr="00841319">
              <w:rPr>
                <w:rFonts w:cstheme="minorHAnsi"/>
                <w:b w:val="0"/>
              </w:rPr>
              <w:t>Program</w:t>
            </w:r>
          </w:p>
        </w:tc>
        <w:tc>
          <w:tcPr>
            <w:tcW w:w="4080" w:type="dxa"/>
            <w:gridSpan w:val="2"/>
          </w:tcPr>
          <w:p w:rsidR="00E4181C" w:rsidRPr="00841319" w:rsidRDefault="00E4181C"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841319">
              <w:rPr>
                <w:rFonts w:cstheme="minorHAnsi"/>
                <w:b w:val="0"/>
              </w:rPr>
              <w:t xml:space="preserve">Goal or Outcome Related to Budget </w:t>
            </w:r>
          </w:p>
        </w:tc>
        <w:tc>
          <w:tcPr>
            <w:tcW w:w="5490" w:type="dxa"/>
          </w:tcPr>
          <w:p w:rsidR="00E4181C" w:rsidRPr="00841319" w:rsidRDefault="00E4181C"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841319">
              <w:rPr>
                <w:rFonts w:cstheme="minorHAnsi"/>
                <w:b w:val="0"/>
              </w:rPr>
              <w:t xml:space="preserve">Information Linked to </w:t>
            </w:r>
            <w:r>
              <w:rPr>
                <w:rFonts w:cstheme="minorHAnsi"/>
                <w:b w:val="0"/>
              </w:rPr>
              <w:t xml:space="preserve">Past </w:t>
            </w:r>
            <w:r w:rsidRPr="00841319">
              <w:rPr>
                <w:rFonts w:cstheme="minorHAnsi"/>
                <w:b w:val="0"/>
              </w:rPr>
              <w:t>Budget</w:t>
            </w:r>
          </w:p>
        </w:tc>
      </w:tr>
      <w:tr w:rsidR="00E4181C" w:rsidRPr="00D54510" w:rsidTr="00B40A15">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1428" w:type="dxa"/>
          </w:tcPr>
          <w:p w:rsidR="00E4181C" w:rsidRPr="00CC0A76" w:rsidRDefault="00E4181C" w:rsidP="00185F55">
            <w:pPr>
              <w:jc w:val="both"/>
              <w:rPr>
                <w:rFonts w:cstheme="minorHAnsi"/>
                <w:b w:val="0"/>
                <w:sz w:val="20"/>
                <w:szCs w:val="20"/>
              </w:rPr>
            </w:pPr>
            <w:r>
              <w:rPr>
                <w:rFonts w:cstheme="minorHAnsi"/>
                <w:b w:val="0"/>
                <w:sz w:val="20"/>
                <w:szCs w:val="20"/>
              </w:rPr>
              <w:t>Theater Arts</w:t>
            </w:r>
          </w:p>
        </w:tc>
        <w:tc>
          <w:tcPr>
            <w:tcW w:w="3990" w:type="dxa"/>
          </w:tcPr>
          <w:p w:rsidR="00E4181C" w:rsidRPr="00CC0A76" w:rsidRDefault="00E4181C" w:rsidP="006626BE">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F55">
              <w:rPr>
                <w:rFonts w:cstheme="minorHAnsi"/>
                <w:sz w:val="20"/>
                <w:szCs w:val="20"/>
              </w:rPr>
              <w:t xml:space="preserve">Through curriculum coursework and practical application, </w:t>
            </w:r>
            <w:proofErr w:type="gramStart"/>
            <w:r w:rsidRPr="00185F55">
              <w:rPr>
                <w:rFonts w:cstheme="minorHAnsi"/>
                <w:sz w:val="20"/>
                <w:szCs w:val="20"/>
              </w:rPr>
              <w:t>a theatre arts</w:t>
            </w:r>
            <w:proofErr w:type="gramEnd"/>
            <w:r w:rsidRPr="00185F55">
              <w:rPr>
                <w:rFonts w:cstheme="minorHAnsi"/>
                <w:sz w:val="20"/>
                <w:szCs w:val="20"/>
              </w:rPr>
              <w:t xml:space="preserve"> major will earn an Associate in Sciences Degree in Theatre Arts or satisfactory credits to transfer to a four-year program and/or skills to enter the entertainment industry.</w:t>
            </w:r>
          </w:p>
        </w:tc>
        <w:tc>
          <w:tcPr>
            <w:tcW w:w="5580" w:type="dxa"/>
            <w:gridSpan w:val="2"/>
          </w:tcPr>
          <w:p w:rsidR="00E4181C" w:rsidRPr="00CC0A76" w:rsidRDefault="00E4181C" w:rsidP="006626BE">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One graduate returned to AC because of financial issues (regaining financial aid) at a 4-year institution. (Student budgetary issues can affect transfer and employment)</w:t>
            </w:r>
          </w:p>
        </w:tc>
      </w:tr>
    </w:tbl>
    <w:p w:rsidR="005E5743" w:rsidRDefault="005E5743" w:rsidP="005E5743">
      <w:pPr>
        <w:jc w:val="both"/>
        <w:rPr>
          <w:rFonts w:cstheme="minorHAnsi"/>
        </w:rPr>
      </w:pPr>
    </w:p>
    <w:tbl>
      <w:tblPr>
        <w:tblStyle w:val="LightList-Accent1"/>
        <w:tblW w:w="10998" w:type="dxa"/>
        <w:tblLook w:val="04A0" w:firstRow="1" w:lastRow="0" w:firstColumn="1" w:lastColumn="0" w:noHBand="0" w:noVBand="1"/>
      </w:tblPr>
      <w:tblGrid>
        <w:gridCol w:w="1428"/>
        <w:gridCol w:w="3090"/>
        <w:gridCol w:w="6480"/>
      </w:tblGrid>
      <w:tr w:rsidR="008458FC" w:rsidRPr="00D54510" w:rsidTr="008458FC">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428" w:type="dxa"/>
          </w:tcPr>
          <w:p w:rsidR="008458FC" w:rsidRPr="00841319" w:rsidRDefault="008458FC" w:rsidP="006626BE">
            <w:pPr>
              <w:jc w:val="left"/>
              <w:rPr>
                <w:rFonts w:cstheme="minorHAnsi"/>
                <w:b w:val="0"/>
              </w:rPr>
            </w:pPr>
            <w:r w:rsidRPr="00841319">
              <w:rPr>
                <w:rFonts w:cstheme="minorHAnsi"/>
                <w:b w:val="0"/>
              </w:rPr>
              <w:t>Program</w:t>
            </w:r>
          </w:p>
        </w:tc>
        <w:tc>
          <w:tcPr>
            <w:tcW w:w="3090" w:type="dxa"/>
          </w:tcPr>
          <w:p w:rsidR="008458FC" w:rsidRPr="00841319" w:rsidRDefault="008458FC"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841319">
              <w:rPr>
                <w:rFonts w:cstheme="minorHAnsi"/>
                <w:b w:val="0"/>
              </w:rPr>
              <w:t xml:space="preserve">Goal or Outcome Related to Budget </w:t>
            </w:r>
          </w:p>
        </w:tc>
        <w:tc>
          <w:tcPr>
            <w:tcW w:w="6480" w:type="dxa"/>
          </w:tcPr>
          <w:p w:rsidR="008458FC" w:rsidRPr="00841319" w:rsidRDefault="008458FC"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841319">
              <w:rPr>
                <w:rFonts w:cstheme="minorHAnsi"/>
                <w:b w:val="0"/>
              </w:rPr>
              <w:t xml:space="preserve">Information Linked to </w:t>
            </w:r>
            <w:r>
              <w:rPr>
                <w:rFonts w:cstheme="minorHAnsi"/>
                <w:b w:val="0"/>
              </w:rPr>
              <w:t xml:space="preserve">Past </w:t>
            </w:r>
            <w:r w:rsidRPr="00841319">
              <w:rPr>
                <w:rFonts w:cstheme="minorHAnsi"/>
                <w:b w:val="0"/>
              </w:rPr>
              <w:t>Budget</w:t>
            </w:r>
          </w:p>
        </w:tc>
      </w:tr>
      <w:tr w:rsidR="008458FC" w:rsidRPr="00D54510" w:rsidTr="008458FC">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1428" w:type="dxa"/>
          </w:tcPr>
          <w:p w:rsidR="008458FC" w:rsidRPr="00CC0A76" w:rsidRDefault="008458FC" w:rsidP="006626BE">
            <w:pPr>
              <w:jc w:val="left"/>
              <w:rPr>
                <w:rFonts w:cstheme="minorHAnsi"/>
                <w:b w:val="0"/>
                <w:sz w:val="20"/>
                <w:szCs w:val="20"/>
              </w:rPr>
            </w:pPr>
            <w:r>
              <w:rPr>
                <w:rFonts w:cstheme="minorHAnsi"/>
                <w:b w:val="0"/>
                <w:sz w:val="20"/>
                <w:szCs w:val="20"/>
              </w:rPr>
              <w:t>Physical Sciences</w:t>
            </w:r>
          </w:p>
        </w:tc>
        <w:tc>
          <w:tcPr>
            <w:tcW w:w="3090" w:type="dxa"/>
          </w:tcPr>
          <w:p w:rsidR="008458FC" w:rsidRPr="00CC0A76" w:rsidRDefault="008458FC" w:rsidP="006626BE">
            <w:pPr>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458FC">
              <w:rPr>
                <w:rFonts w:cstheme="minorHAnsi"/>
                <w:sz w:val="20"/>
                <w:szCs w:val="20"/>
              </w:rPr>
              <w:t>Provide upgrade and implementation of more technology in laboratory settings through grants and other resources.</w:t>
            </w:r>
          </w:p>
        </w:tc>
        <w:tc>
          <w:tcPr>
            <w:tcW w:w="6480" w:type="dxa"/>
          </w:tcPr>
          <w:p w:rsidR="008458FC" w:rsidRDefault="008458FC" w:rsidP="006626BE">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8458FC">
              <w:rPr>
                <w:sz w:val="20"/>
                <w:szCs w:val="20"/>
              </w:rPr>
              <w:t>Additional equipment, particularly for physics, has been acquired over the past year, mainly through a grant with New Mexico Tech.</w:t>
            </w:r>
          </w:p>
          <w:p w:rsidR="008458FC" w:rsidRDefault="008458FC" w:rsidP="008458FC">
            <w:pPr>
              <w:cnfStyle w:val="000000100000" w:firstRow="0" w:lastRow="0" w:firstColumn="0" w:lastColumn="0" w:oddVBand="0" w:evenVBand="0" w:oddHBand="1" w:evenHBand="0" w:firstRowFirstColumn="0" w:firstRowLastColumn="0" w:lastRowFirstColumn="0" w:lastRowLastColumn="0"/>
              <w:rPr>
                <w:sz w:val="20"/>
                <w:szCs w:val="20"/>
              </w:rPr>
            </w:pPr>
          </w:p>
          <w:p w:rsidR="008458FC" w:rsidRPr="008458FC" w:rsidRDefault="008458FC" w:rsidP="008458FC">
            <w:pPr>
              <w:tabs>
                <w:tab w:val="left" w:pos="2610"/>
              </w:tabs>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b/>
            </w:r>
          </w:p>
        </w:tc>
      </w:tr>
    </w:tbl>
    <w:p w:rsidR="008458FC" w:rsidRDefault="008458FC" w:rsidP="005E5743">
      <w:pPr>
        <w:jc w:val="both"/>
        <w:rPr>
          <w:rFonts w:cstheme="minorHAnsi"/>
        </w:rPr>
      </w:pPr>
    </w:p>
    <w:tbl>
      <w:tblPr>
        <w:tblStyle w:val="LightList-Accent1"/>
        <w:tblW w:w="11016" w:type="dxa"/>
        <w:tblLook w:val="04A0" w:firstRow="1" w:lastRow="0" w:firstColumn="1" w:lastColumn="0" w:noHBand="0" w:noVBand="1"/>
      </w:tblPr>
      <w:tblGrid>
        <w:gridCol w:w="1324"/>
        <w:gridCol w:w="2204"/>
        <w:gridCol w:w="4590"/>
        <w:gridCol w:w="2898"/>
      </w:tblGrid>
      <w:tr w:rsidR="00B40A15" w:rsidRPr="00D54510" w:rsidTr="00662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4" w:type="dxa"/>
          </w:tcPr>
          <w:p w:rsidR="00B40A15" w:rsidRPr="00D54510" w:rsidRDefault="00B40A15" w:rsidP="006626BE">
            <w:pPr>
              <w:jc w:val="left"/>
              <w:rPr>
                <w:rFonts w:cstheme="minorHAnsi"/>
                <w:b w:val="0"/>
              </w:rPr>
            </w:pPr>
            <w:r>
              <w:rPr>
                <w:rFonts w:cstheme="minorHAnsi"/>
                <w:b w:val="0"/>
              </w:rPr>
              <w:t>Department</w:t>
            </w:r>
          </w:p>
        </w:tc>
        <w:tc>
          <w:tcPr>
            <w:tcW w:w="2204" w:type="dxa"/>
          </w:tcPr>
          <w:p w:rsidR="00B40A15" w:rsidRPr="00D54510" w:rsidRDefault="00B40A15"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 xml:space="preserve">Goal or Outcome Related to Budget </w:t>
            </w:r>
          </w:p>
        </w:tc>
        <w:tc>
          <w:tcPr>
            <w:tcW w:w="4590" w:type="dxa"/>
          </w:tcPr>
          <w:p w:rsidR="00B40A15" w:rsidRPr="00D54510" w:rsidRDefault="00B40A15" w:rsidP="006626BE">
            <w:pPr>
              <w:jc w:val="left"/>
              <w:cnfStyle w:val="100000000000" w:firstRow="1" w:lastRow="0" w:firstColumn="0" w:lastColumn="0" w:oddVBand="0" w:evenVBand="0" w:oddHBand="0" w:evenHBand="0" w:firstRowFirstColumn="0" w:firstRowLastColumn="0" w:lastRowFirstColumn="0" w:lastRowLastColumn="0"/>
              <w:rPr>
                <w:rFonts w:cstheme="minorHAnsi"/>
              </w:rPr>
            </w:pPr>
            <w:r w:rsidRPr="00D54510">
              <w:rPr>
                <w:rFonts w:cstheme="minorHAnsi"/>
                <w:b w:val="0"/>
              </w:rPr>
              <w:t xml:space="preserve">Budget </w:t>
            </w:r>
            <w:r>
              <w:rPr>
                <w:rFonts w:cstheme="minorHAnsi"/>
                <w:b w:val="0"/>
              </w:rPr>
              <w:t>Issues</w:t>
            </w:r>
          </w:p>
        </w:tc>
        <w:tc>
          <w:tcPr>
            <w:tcW w:w="2898" w:type="dxa"/>
          </w:tcPr>
          <w:p w:rsidR="00B40A15" w:rsidRPr="00D54510" w:rsidRDefault="00B40A15" w:rsidP="006626BE">
            <w:pPr>
              <w:jc w:val="left"/>
              <w:cnfStyle w:val="100000000000" w:firstRow="1" w:lastRow="0" w:firstColumn="0" w:lastColumn="0" w:oddVBand="0" w:evenVBand="0" w:oddHBand="0" w:evenHBand="0" w:firstRowFirstColumn="0" w:firstRowLastColumn="0" w:lastRowFirstColumn="0" w:lastRowLastColumn="0"/>
              <w:rPr>
                <w:rFonts w:cstheme="minorHAnsi"/>
                <w:b w:val="0"/>
              </w:rPr>
            </w:pPr>
            <w:r w:rsidRPr="00D54510">
              <w:rPr>
                <w:rFonts w:cstheme="minorHAnsi"/>
                <w:b w:val="0"/>
              </w:rPr>
              <w:t>Information Linked to</w:t>
            </w:r>
            <w:r>
              <w:rPr>
                <w:rFonts w:cstheme="minorHAnsi"/>
                <w:b w:val="0"/>
              </w:rPr>
              <w:t xml:space="preserve"> Past</w:t>
            </w:r>
            <w:r w:rsidRPr="00D54510">
              <w:rPr>
                <w:rFonts w:cstheme="minorHAnsi"/>
                <w:b w:val="0"/>
              </w:rPr>
              <w:t xml:space="preserve"> Budget</w:t>
            </w:r>
          </w:p>
        </w:tc>
      </w:tr>
      <w:tr w:rsidR="00B40A15" w:rsidRPr="00D54510" w:rsidTr="006626BE">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324" w:type="dxa"/>
          </w:tcPr>
          <w:p w:rsidR="00B40A15" w:rsidRPr="00A052A2" w:rsidRDefault="00B40A15" w:rsidP="00127891">
            <w:pPr>
              <w:jc w:val="left"/>
              <w:rPr>
                <w:rFonts w:cstheme="minorHAnsi"/>
                <w:b w:val="0"/>
                <w:sz w:val="20"/>
                <w:szCs w:val="20"/>
              </w:rPr>
            </w:pPr>
            <w:r>
              <w:rPr>
                <w:rFonts w:cstheme="minorHAnsi"/>
                <w:b w:val="0"/>
                <w:sz w:val="20"/>
                <w:szCs w:val="20"/>
              </w:rPr>
              <w:t>Criminal Justice Programs</w:t>
            </w:r>
            <w:r>
              <w:rPr>
                <w:rFonts w:cstheme="minorHAnsi"/>
                <w:b w:val="0"/>
                <w:sz w:val="20"/>
                <w:szCs w:val="20"/>
              </w:rPr>
              <w:br/>
              <w:t>(Originally listed as Non-Instructional (NI) – Was NI on th</w:t>
            </w:r>
            <w:r w:rsidR="00127891">
              <w:rPr>
                <w:rFonts w:cstheme="minorHAnsi"/>
                <w:b w:val="0"/>
                <w:sz w:val="20"/>
                <w:szCs w:val="20"/>
              </w:rPr>
              <w:t xml:space="preserve">e 2010-2011 </w:t>
            </w:r>
            <w:r>
              <w:rPr>
                <w:rFonts w:cstheme="minorHAnsi"/>
                <w:b w:val="0"/>
                <w:sz w:val="20"/>
                <w:szCs w:val="20"/>
              </w:rPr>
              <w:t>report)</w:t>
            </w:r>
          </w:p>
        </w:tc>
        <w:tc>
          <w:tcPr>
            <w:tcW w:w="2204" w:type="dxa"/>
          </w:tcPr>
          <w:p w:rsidR="00B40A15" w:rsidRPr="00A052A2" w:rsidRDefault="00B40A15"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B17148">
              <w:rPr>
                <w:sz w:val="20"/>
                <w:szCs w:val="20"/>
              </w:rPr>
              <w:t>After receiving targeted marketing materials, at least 10 current Criminal Justice students (Academic and Continuing Education) will enroll in or recruit enrollments for 911 Communication Academy.</w:t>
            </w:r>
          </w:p>
        </w:tc>
        <w:tc>
          <w:tcPr>
            <w:tcW w:w="4590" w:type="dxa"/>
          </w:tcPr>
          <w:p w:rsidR="00B40A15" w:rsidRPr="00A052A2" w:rsidRDefault="00B40A15" w:rsidP="006626BE">
            <w:pPr>
              <w:spacing w:after="20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17148">
              <w:rPr>
                <w:sz w:val="20"/>
                <w:szCs w:val="20"/>
              </w:rPr>
              <w:t>We continue to receive serious inquiries about the training, but none of these have turned into enrollments.  We believe the cost is too high for students who are interested in this career.</w:t>
            </w:r>
            <w:r>
              <w:rPr>
                <w:sz w:val="20"/>
                <w:szCs w:val="20"/>
              </w:rPr>
              <w:t xml:space="preserve"> </w:t>
            </w:r>
            <w:r w:rsidRPr="00B17148">
              <w:rPr>
                <w:sz w:val="20"/>
                <w:szCs w:val="20"/>
              </w:rPr>
              <w:t>We are planning another mass marketing blitz in July 2010 for the September 13, 2010 911 Communication Academy.  If this fails to produce sufficient enrollment, we will no other choice but to meet with the instructors and revamp the training efforts and reduce the cost to the student.</w:t>
            </w:r>
          </w:p>
        </w:tc>
        <w:tc>
          <w:tcPr>
            <w:tcW w:w="2898" w:type="dxa"/>
          </w:tcPr>
          <w:p w:rsidR="00B40A15" w:rsidRPr="00B17148" w:rsidRDefault="00B40A15"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B17148">
              <w:rPr>
                <w:sz w:val="20"/>
                <w:szCs w:val="20"/>
              </w:rPr>
              <w:t># of marketing postcards mailed: 1,331</w:t>
            </w:r>
          </w:p>
          <w:p w:rsidR="00B40A15" w:rsidRPr="00B17148" w:rsidRDefault="00B40A15"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B17148">
              <w:rPr>
                <w:sz w:val="20"/>
                <w:szCs w:val="20"/>
              </w:rPr>
              <w:t># of postcards emailed: 4,062</w:t>
            </w:r>
          </w:p>
          <w:p w:rsidR="00B40A15" w:rsidRPr="00B17148" w:rsidRDefault="00B40A15"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B17148">
              <w:rPr>
                <w:sz w:val="20"/>
                <w:szCs w:val="20"/>
              </w:rPr>
              <w:t>14 Information packets mailed</w:t>
            </w:r>
          </w:p>
          <w:p w:rsidR="00B40A15" w:rsidRPr="00A052A2" w:rsidRDefault="00B40A15" w:rsidP="006626BE">
            <w:pPr>
              <w:jc w:val="left"/>
              <w:cnfStyle w:val="000000100000" w:firstRow="0" w:lastRow="0" w:firstColumn="0" w:lastColumn="0" w:oddVBand="0" w:evenVBand="0" w:oddHBand="1" w:evenHBand="0" w:firstRowFirstColumn="0" w:firstRowLastColumn="0" w:lastRowFirstColumn="0" w:lastRowLastColumn="0"/>
              <w:rPr>
                <w:sz w:val="20"/>
                <w:szCs w:val="20"/>
              </w:rPr>
            </w:pPr>
            <w:r w:rsidRPr="00B17148">
              <w:rPr>
                <w:sz w:val="20"/>
                <w:szCs w:val="20"/>
              </w:rPr>
              <w:t xml:space="preserve">(Items are Survey Categories and results will be inserted when survey is complete.)                                                  To date, our efforts have produced 0 enrollments.  </w:t>
            </w:r>
          </w:p>
        </w:tc>
      </w:tr>
    </w:tbl>
    <w:p w:rsidR="00B40A15" w:rsidRPr="00D54510" w:rsidRDefault="00B40A15" w:rsidP="005E5743">
      <w:pPr>
        <w:jc w:val="both"/>
        <w:rPr>
          <w:rFonts w:cstheme="minorHAnsi"/>
        </w:rPr>
      </w:pPr>
    </w:p>
    <w:sectPr w:rsidR="00B40A15" w:rsidRPr="00D54510" w:rsidSect="00F32C05">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CF2" w:rsidRDefault="00675CF2" w:rsidP="005E5743">
      <w:r>
        <w:separator/>
      </w:r>
    </w:p>
  </w:endnote>
  <w:endnote w:type="continuationSeparator" w:id="0">
    <w:p w:rsidR="00675CF2" w:rsidRDefault="00675CF2" w:rsidP="005E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995643"/>
      <w:docPartObj>
        <w:docPartGallery w:val="Page Numbers (Bottom of Page)"/>
        <w:docPartUnique/>
      </w:docPartObj>
    </w:sdtPr>
    <w:sdtEndPr>
      <w:rPr>
        <w:noProof/>
      </w:rPr>
    </w:sdtEndPr>
    <w:sdtContent>
      <w:p w:rsidR="005E5743" w:rsidRDefault="005E5743">
        <w:pPr>
          <w:pStyle w:val="Footer"/>
          <w:jc w:val="right"/>
        </w:pPr>
        <w:r>
          <w:fldChar w:fldCharType="begin"/>
        </w:r>
        <w:r>
          <w:instrText xml:space="preserve"> PAGE   \* MERGEFORMAT </w:instrText>
        </w:r>
        <w:r>
          <w:fldChar w:fldCharType="separate"/>
        </w:r>
        <w:r w:rsidR="004B38F7">
          <w:rPr>
            <w:noProof/>
          </w:rPr>
          <w:t>1</w:t>
        </w:r>
        <w:r>
          <w:rPr>
            <w:noProof/>
          </w:rPr>
          <w:fldChar w:fldCharType="end"/>
        </w:r>
      </w:p>
    </w:sdtContent>
  </w:sdt>
  <w:p w:rsidR="005E5743" w:rsidRDefault="005E5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CF2" w:rsidRDefault="00675CF2" w:rsidP="005E5743">
      <w:r>
        <w:separator/>
      </w:r>
    </w:p>
  </w:footnote>
  <w:footnote w:type="continuationSeparator" w:id="0">
    <w:p w:rsidR="00675CF2" w:rsidRDefault="00675CF2" w:rsidP="005E5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F96"/>
    <w:multiLevelType w:val="hybridMultilevel"/>
    <w:tmpl w:val="E8DC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D56EE5"/>
    <w:multiLevelType w:val="hybridMultilevel"/>
    <w:tmpl w:val="0A88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F8236A"/>
    <w:multiLevelType w:val="hybridMultilevel"/>
    <w:tmpl w:val="C82A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AF2320"/>
    <w:multiLevelType w:val="hybridMultilevel"/>
    <w:tmpl w:val="0F301C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23D524D"/>
    <w:multiLevelType w:val="hybridMultilevel"/>
    <w:tmpl w:val="404E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C05"/>
    <w:rsid w:val="00082707"/>
    <w:rsid w:val="000977B5"/>
    <w:rsid w:val="000F6355"/>
    <w:rsid w:val="00127891"/>
    <w:rsid w:val="00185F55"/>
    <w:rsid w:val="001A25B6"/>
    <w:rsid w:val="001D550D"/>
    <w:rsid w:val="00306CAA"/>
    <w:rsid w:val="0031642E"/>
    <w:rsid w:val="00331ACB"/>
    <w:rsid w:val="003D38A3"/>
    <w:rsid w:val="004600CC"/>
    <w:rsid w:val="0046341E"/>
    <w:rsid w:val="004B38F7"/>
    <w:rsid w:val="00524AD3"/>
    <w:rsid w:val="00525125"/>
    <w:rsid w:val="005E5743"/>
    <w:rsid w:val="00607383"/>
    <w:rsid w:val="00675CF2"/>
    <w:rsid w:val="007523BD"/>
    <w:rsid w:val="007A7F6E"/>
    <w:rsid w:val="00810593"/>
    <w:rsid w:val="00841319"/>
    <w:rsid w:val="008458FC"/>
    <w:rsid w:val="008805A2"/>
    <w:rsid w:val="00886270"/>
    <w:rsid w:val="0088733C"/>
    <w:rsid w:val="00895EA8"/>
    <w:rsid w:val="008C33DD"/>
    <w:rsid w:val="00935891"/>
    <w:rsid w:val="009A0318"/>
    <w:rsid w:val="00A273D4"/>
    <w:rsid w:val="00B40A15"/>
    <w:rsid w:val="00B40BA0"/>
    <w:rsid w:val="00BA6E9B"/>
    <w:rsid w:val="00BB033F"/>
    <w:rsid w:val="00C06FAE"/>
    <w:rsid w:val="00C461CF"/>
    <w:rsid w:val="00CA61E5"/>
    <w:rsid w:val="00CC0A76"/>
    <w:rsid w:val="00D13B54"/>
    <w:rsid w:val="00D54510"/>
    <w:rsid w:val="00E10CA9"/>
    <w:rsid w:val="00E417AC"/>
    <w:rsid w:val="00E4181C"/>
    <w:rsid w:val="00E600EA"/>
    <w:rsid w:val="00F32C05"/>
    <w:rsid w:val="00F4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C05"/>
    <w:pPr>
      <w:ind w:left="720"/>
      <w:contextualSpacing/>
    </w:pPr>
  </w:style>
  <w:style w:type="table" w:styleId="TableGrid">
    <w:name w:val="Table Grid"/>
    <w:basedOn w:val="TableNormal"/>
    <w:uiPriority w:val="59"/>
    <w:rsid w:val="00F32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32C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4600CC"/>
    <w:pPr>
      <w:autoSpaceDE w:val="0"/>
      <w:autoSpaceDN w:val="0"/>
      <w:adjustRightInd w:val="0"/>
      <w:jc w:val="left"/>
    </w:pPr>
    <w:rPr>
      <w:rFonts w:ascii="Arial" w:hAnsi="Arial" w:cs="Arial"/>
      <w:color w:val="000000"/>
      <w:sz w:val="24"/>
      <w:szCs w:val="24"/>
    </w:rPr>
  </w:style>
  <w:style w:type="paragraph" w:styleId="NoSpacing">
    <w:name w:val="No Spacing"/>
    <w:uiPriority w:val="1"/>
    <w:qFormat/>
    <w:rsid w:val="004600CC"/>
    <w:pPr>
      <w:jc w:val="left"/>
    </w:pPr>
  </w:style>
  <w:style w:type="paragraph" w:styleId="Header">
    <w:name w:val="header"/>
    <w:basedOn w:val="Normal"/>
    <w:link w:val="HeaderChar"/>
    <w:uiPriority w:val="99"/>
    <w:unhideWhenUsed/>
    <w:rsid w:val="005E5743"/>
    <w:pPr>
      <w:tabs>
        <w:tab w:val="center" w:pos="4680"/>
        <w:tab w:val="right" w:pos="9360"/>
      </w:tabs>
    </w:pPr>
  </w:style>
  <w:style w:type="character" w:customStyle="1" w:styleId="HeaderChar">
    <w:name w:val="Header Char"/>
    <w:basedOn w:val="DefaultParagraphFont"/>
    <w:link w:val="Header"/>
    <w:uiPriority w:val="99"/>
    <w:rsid w:val="005E5743"/>
  </w:style>
  <w:style w:type="paragraph" w:styleId="Footer">
    <w:name w:val="footer"/>
    <w:basedOn w:val="Normal"/>
    <w:link w:val="FooterChar"/>
    <w:uiPriority w:val="99"/>
    <w:unhideWhenUsed/>
    <w:rsid w:val="005E5743"/>
    <w:pPr>
      <w:tabs>
        <w:tab w:val="center" w:pos="4680"/>
        <w:tab w:val="right" w:pos="9360"/>
      </w:tabs>
    </w:pPr>
  </w:style>
  <w:style w:type="character" w:customStyle="1" w:styleId="FooterChar">
    <w:name w:val="Footer Char"/>
    <w:basedOn w:val="DefaultParagraphFont"/>
    <w:link w:val="Footer"/>
    <w:uiPriority w:val="99"/>
    <w:rsid w:val="005E5743"/>
  </w:style>
  <w:style w:type="character" w:styleId="Hyperlink">
    <w:name w:val="Hyperlink"/>
    <w:basedOn w:val="DefaultParagraphFont"/>
    <w:uiPriority w:val="99"/>
    <w:unhideWhenUsed/>
    <w:rsid w:val="00B40BA0"/>
    <w:rPr>
      <w:color w:val="0000FF" w:themeColor="hyperlink"/>
      <w:u w:val="single"/>
    </w:rPr>
  </w:style>
  <w:style w:type="character" w:styleId="FollowedHyperlink">
    <w:name w:val="FollowedHyperlink"/>
    <w:basedOn w:val="DefaultParagraphFont"/>
    <w:uiPriority w:val="99"/>
    <w:semiHidden/>
    <w:unhideWhenUsed/>
    <w:rsid w:val="00B40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C05"/>
    <w:pPr>
      <w:ind w:left="720"/>
      <w:contextualSpacing/>
    </w:pPr>
  </w:style>
  <w:style w:type="table" w:styleId="TableGrid">
    <w:name w:val="Table Grid"/>
    <w:basedOn w:val="TableNormal"/>
    <w:uiPriority w:val="59"/>
    <w:rsid w:val="00F32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32C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4600CC"/>
    <w:pPr>
      <w:autoSpaceDE w:val="0"/>
      <w:autoSpaceDN w:val="0"/>
      <w:adjustRightInd w:val="0"/>
      <w:jc w:val="left"/>
    </w:pPr>
    <w:rPr>
      <w:rFonts w:ascii="Arial" w:hAnsi="Arial" w:cs="Arial"/>
      <w:color w:val="000000"/>
      <w:sz w:val="24"/>
      <w:szCs w:val="24"/>
    </w:rPr>
  </w:style>
  <w:style w:type="paragraph" w:styleId="NoSpacing">
    <w:name w:val="No Spacing"/>
    <w:uiPriority w:val="1"/>
    <w:qFormat/>
    <w:rsid w:val="004600CC"/>
    <w:pPr>
      <w:jc w:val="left"/>
    </w:pPr>
  </w:style>
  <w:style w:type="paragraph" w:styleId="Header">
    <w:name w:val="header"/>
    <w:basedOn w:val="Normal"/>
    <w:link w:val="HeaderChar"/>
    <w:uiPriority w:val="99"/>
    <w:unhideWhenUsed/>
    <w:rsid w:val="005E5743"/>
    <w:pPr>
      <w:tabs>
        <w:tab w:val="center" w:pos="4680"/>
        <w:tab w:val="right" w:pos="9360"/>
      </w:tabs>
    </w:pPr>
  </w:style>
  <w:style w:type="character" w:customStyle="1" w:styleId="HeaderChar">
    <w:name w:val="Header Char"/>
    <w:basedOn w:val="DefaultParagraphFont"/>
    <w:link w:val="Header"/>
    <w:uiPriority w:val="99"/>
    <w:rsid w:val="005E5743"/>
  </w:style>
  <w:style w:type="paragraph" w:styleId="Footer">
    <w:name w:val="footer"/>
    <w:basedOn w:val="Normal"/>
    <w:link w:val="FooterChar"/>
    <w:uiPriority w:val="99"/>
    <w:unhideWhenUsed/>
    <w:rsid w:val="005E5743"/>
    <w:pPr>
      <w:tabs>
        <w:tab w:val="center" w:pos="4680"/>
        <w:tab w:val="right" w:pos="9360"/>
      </w:tabs>
    </w:pPr>
  </w:style>
  <w:style w:type="character" w:customStyle="1" w:styleId="FooterChar">
    <w:name w:val="Footer Char"/>
    <w:basedOn w:val="DefaultParagraphFont"/>
    <w:link w:val="Footer"/>
    <w:uiPriority w:val="99"/>
    <w:rsid w:val="005E5743"/>
  </w:style>
  <w:style w:type="character" w:styleId="Hyperlink">
    <w:name w:val="Hyperlink"/>
    <w:basedOn w:val="DefaultParagraphFont"/>
    <w:uiPriority w:val="99"/>
    <w:unhideWhenUsed/>
    <w:rsid w:val="00B40BA0"/>
    <w:rPr>
      <w:color w:val="0000FF" w:themeColor="hyperlink"/>
      <w:u w:val="single"/>
    </w:rPr>
  </w:style>
  <w:style w:type="character" w:styleId="FollowedHyperlink">
    <w:name w:val="FollowedHyperlink"/>
    <w:basedOn w:val="DefaultParagraphFont"/>
    <w:uiPriority w:val="99"/>
    <w:semiHidden/>
    <w:unhideWhenUsed/>
    <w:rsid w:val="00B40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9</Pages>
  <Words>3657</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McDonald-Willey</dc:creator>
  <cp:lastModifiedBy>Kristin D. McDonald-Willey</cp:lastModifiedBy>
  <cp:revision>27</cp:revision>
  <dcterms:created xsi:type="dcterms:W3CDTF">2012-01-18T14:59:00Z</dcterms:created>
  <dcterms:modified xsi:type="dcterms:W3CDTF">2012-01-19T18:38:00Z</dcterms:modified>
</cp:coreProperties>
</file>