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B5" w:rsidRDefault="00A241FF" w:rsidP="00A241FF">
      <w:r>
        <w:t>Defining Benchmarks/Targets</w:t>
      </w:r>
    </w:p>
    <w:p w:rsidR="00A241FF" w:rsidRDefault="00A241FF" w:rsidP="00A241FF"/>
    <w:p w:rsidR="00A241FF" w:rsidRDefault="00A241FF" w:rsidP="00A241FF">
      <w:pPr>
        <w:jc w:val="left"/>
      </w:pPr>
      <w:r w:rsidRPr="00D84067">
        <w:rPr>
          <w:b/>
          <w:u w:val="single"/>
        </w:rPr>
        <w:t>Definition:</w:t>
      </w:r>
      <w:r>
        <w:rPr>
          <w:u w:val="single"/>
        </w:rPr>
        <w:t xml:space="preserve"> </w:t>
      </w:r>
      <w:r w:rsidR="00D84067">
        <w:br/>
      </w:r>
      <w:r>
        <w:t xml:space="preserve">A benchmark is a standard or point of reference against which things may be compared or assessed. Your benchmark or target is what you will use to determine </w:t>
      </w:r>
      <w:r w:rsidR="00D84067">
        <w:t>the degree to which</w:t>
      </w:r>
      <w:r>
        <w:t xml:space="preserve"> you want a student to demonstrate </w:t>
      </w:r>
      <w:r w:rsidR="00D84067">
        <w:t xml:space="preserve">a </w:t>
      </w:r>
      <w:r>
        <w:t>desired level of attainment for a</w:t>
      </w:r>
      <w:r w:rsidR="00D84067">
        <w:t xml:space="preserve"> core objective.</w:t>
      </w:r>
    </w:p>
    <w:p w:rsidR="00A241FF" w:rsidRDefault="00A241FF" w:rsidP="00A241FF">
      <w:pPr>
        <w:jc w:val="left"/>
      </w:pPr>
    </w:p>
    <w:p w:rsidR="00A241FF" w:rsidRPr="00D84067" w:rsidRDefault="003955A7" w:rsidP="00A241FF">
      <w:pPr>
        <w:jc w:val="left"/>
        <w:rPr>
          <w:b/>
          <w:u w:val="single"/>
        </w:rPr>
      </w:pPr>
      <w:r>
        <w:rPr>
          <w:b/>
          <w:u w:val="single"/>
        </w:rPr>
        <w:t>Sample Benchmark Information</w:t>
      </w:r>
    </w:p>
    <w:p w:rsidR="003955A7" w:rsidRDefault="003955A7" w:rsidP="00A241FF">
      <w:pPr>
        <w:jc w:val="left"/>
      </w:pPr>
      <w:r w:rsidRPr="003955A7">
        <w:rPr>
          <w:b/>
        </w:rPr>
        <w:t>70%</w:t>
      </w:r>
      <w:r>
        <w:t xml:space="preserve"> of </w:t>
      </w:r>
      <w:r w:rsidR="00107FF9">
        <w:t>“</w:t>
      </w:r>
      <w:r w:rsidR="00E374FB">
        <w:t>Course Example</w:t>
      </w:r>
      <w:r w:rsidR="00107FF9">
        <w:t>”</w:t>
      </w:r>
      <w:r w:rsidR="00E374FB">
        <w:t xml:space="preserve"> </w:t>
      </w:r>
      <w:r>
        <w:t>students</w:t>
      </w:r>
      <w:r w:rsidR="00E374FB">
        <w:t xml:space="preserve"> </w:t>
      </w:r>
      <w:r>
        <w:t xml:space="preserve">will score a 3 </w:t>
      </w:r>
      <w:r w:rsidR="00E374FB">
        <w:t xml:space="preserve">(scale 1-5) </w:t>
      </w:r>
      <w:r>
        <w:t xml:space="preserve">or </w:t>
      </w:r>
      <w:r w:rsidR="002B312E">
        <w:t xml:space="preserve">higher </w:t>
      </w:r>
      <w:r w:rsidR="00E374FB">
        <w:t xml:space="preserve">on the communication component </w:t>
      </w:r>
      <w:r w:rsidR="00107FF9">
        <w:t>category</w:t>
      </w:r>
      <w:r w:rsidR="00E374FB">
        <w:t xml:space="preserve"> of an analytic rubric. </w:t>
      </w:r>
    </w:p>
    <w:p w:rsidR="00A241FF" w:rsidRDefault="00A241FF" w:rsidP="00A241FF">
      <w:pPr>
        <w:jc w:val="left"/>
      </w:pPr>
    </w:p>
    <w:p w:rsidR="00A241FF" w:rsidRPr="00D84067" w:rsidRDefault="00A241FF" w:rsidP="00A241FF">
      <w:pPr>
        <w:jc w:val="left"/>
        <w:rPr>
          <w:b/>
          <w:u w:val="single"/>
        </w:rPr>
      </w:pPr>
      <w:proofErr w:type="gramStart"/>
      <w:r w:rsidRPr="00D84067">
        <w:rPr>
          <w:b/>
          <w:u w:val="single"/>
        </w:rPr>
        <w:t>Identifying  Appropriate</w:t>
      </w:r>
      <w:proofErr w:type="gramEnd"/>
      <w:r w:rsidRPr="00D84067">
        <w:rPr>
          <w:b/>
          <w:u w:val="single"/>
        </w:rPr>
        <w:t xml:space="preserve"> Benchmarks/Targets:</w:t>
      </w:r>
    </w:p>
    <w:p w:rsidR="00A241FF" w:rsidRPr="003C4053" w:rsidRDefault="00A241FF" w:rsidP="00A241FF">
      <w:pPr>
        <w:pStyle w:val="ListParagraph"/>
        <w:numPr>
          <w:ilvl w:val="0"/>
          <w:numId w:val="1"/>
        </w:numPr>
        <w:jc w:val="left"/>
        <w:rPr>
          <w:b/>
        </w:rPr>
      </w:pPr>
      <w:r>
        <w:t>The benchmark you choose should be realistic, measurable, and attainable.</w:t>
      </w:r>
    </w:p>
    <w:p w:rsidR="003C4053" w:rsidRPr="00A241FF" w:rsidRDefault="003C4053" w:rsidP="00A241FF">
      <w:pPr>
        <w:pStyle w:val="ListParagraph"/>
        <w:numPr>
          <w:ilvl w:val="0"/>
          <w:numId w:val="1"/>
        </w:numPr>
        <w:jc w:val="left"/>
        <w:rPr>
          <w:b/>
        </w:rPr>
      </w:pPr>
      <w:r>
        <w:t>If you only plan to measure a subset of students (e.g. random sample of 50 students across all sections), you need to identify this fact in the benchmark information box.</w:t>
      </w:r>
    </w:p>
    <w:p w:rsidR="00D93474" w:rsidRDefault="00D93474" w:rsidP="00D93474">
      <w:pPr>
        <w:pStyle w:val="ListParagraph"/>
        <w:numPr>
          <w:ilvl w:val="0"/>
          <w:numId w:val="2"/>
        </w:numPr>
        <w:tabs>
          <w:tab w:val="left" w:pos="360"/>
        </w:tabs>
        <w:jc w:val="left"/>
        <w:rPr>
          <w:rFonts w:ascii="Verdana" w:hAnsi="Verdana"/>
          <w:sz w:val="20"/>
          <w:szCs w:val="20"/>
        </w:rPr>
      </w:pPr>
      <w:r w:rsidRPr="00775336">
        <w:rPr>
          <w:rFonts w:ascii="Verdana" w:hAnsi="Verdana"/>
          <w:sz w:val="20"/>
          <w:szCs w:val="20"/>
        </w:rPr>
        <w:t xml:space="preserve">The THECB requires that </w:t>
      </w:r>
      <w:r>
        <w:rPr>
          <w:rFonts w:ascii="Verdana" w:hAnsi="Verdana"/>
          <w:sz w:val="20"/>
          <w:szCs w:val="20"/>
        </w:rPr>
        <w:t xml:space="preserve">internal and external evidence be used in the formation of </w:t>
      </w:r>
      <w:r w:rsidRPr="00775336">
        <w:rPr>
          <w:rFonts w:ascii="Verdana" w:hAnsi="Verdana"/>
          <w:sz w:val="20"/>
          <w:szCs w:val="20"/>
        </w:rPr>
        <w:t>informed bench</w:t>
      </w:r>
      <w:r>
        <w:rPr>
          <w:rFonts w:ascii="Verdana" w:hAnsi="Verdana"/>
          <w:sz w:val="20"/>
          <w:szCs w:val="20"/>
        </w:rPr>
        <w:t>mark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s/targets. Further, AC will be asked to prove that </w:t>
      </w:r>
      <w:proofErr w:type="gramStart"/>
      <w:r>
        <w:rPr>
          <w:rFonts w:ascii="Verdana" w:hAnsi="Verdana"/>
          <w:sz w:val="20"/>
          <w:szCs w:val="20"/>
        </w:rPr>
        <w:t>both internal/external information</w:t>
      </w:r>
      <w:proofErr w:type="gramEnd"/>
      <w:r>
        <w:rPr>
          <w:rFonts w:ascii="Verdana" w:hAnsi="Verdana"/>
          <w:sz w:val="20"/>
          <w:szCs w:val="20"/>
        </w:rPr>
        <w:t xml:space="preserve"> was used in the formation of each core curriculum benchmark. </w:t>
      </w:r>
      <w:r w:rsidRPr="000563E3">
        <w:rPr>
          <w:rFonts w:ascii="Verdana" w:hAnsi="Verdana"/>
          <w:sz w:val="20"/>
          <w:szCs w:val="20"/>
        </w:rPr>
        <w:t xml:space="preserve">As a result, </w:t>
      </w:r>
      <w:r>
        <w:rPr>
          <w:rFonts w:ascii="Verdana" w:hAnsi="Verdana"/>
          <w:sz w:val="20"/>
          <w:szCs w:val="20"/>
          <w:u w:val="single"/>
        </w:rPr>
        <w:t>w</w:t>
      </w:r>
      <w:r w:rsidRPr="000563E3">
        <w:rPr>
          <w:rFonts w:ascii="Verdana" w:hAnsi="Verdana"/>
          <w:sz w:val="20"/>
          <w:szCs w:val="20"/>
          <w:u w:val="single"/>
        </w:rPr>
        <w:t>hen applicable</w:t>
      </w:r>
      <w:r w:rsidRPr="000563E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please view and consider all of the available resources listed below before forming your new benchmarks/targets:</w:t>
      </w:r>
    </w:p>
    <w:p w:rsidR="00D93474" w:rsidRPr="0004348C" w:rsidRDefault="00D93474" w:rsidP="00D93474">
      <w:pPr>
        <w:pStyle w:val="ListParagraph"/>
        <w:numPr>
          <w:ilvl w:val="1"/>
          <w:numId w:val="2"/>
        </w:numPr>
        <w:tabs>
          <w:tab w:val="left" w:pos="360"/>
        </w:tabs>
        <w:jc w:val="left"/>
        <w:rPr>
          <w:rFonts w:ascii="Verdana" w:hAnsi="Verdana"/>
          <w:sz w:val="20"/>
          <w:szCs w:val="20"/>
        </w:rPr>
      </w:pPr>
      <w:r w:rsidRPr="0004348C">
        <w:rPr>
          <w:rFonts w:ascii="Verdana" w:hAnsi="Verdana"/>
          <w:b/>
          <w:sz w:val="20"/>
          <w:szCs w:val="20"/>
        </w:rPr>
        <w:t>Internal</w:t>
      </w:r>
      <w:r w:rsidRPr="000434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 xml:space="preserve">Consider what past departmental data tells you, what the </w:t>
      </w:r>
      <w:hyperlink r:id="rId6" w:history="1">
        <w:r w:rsidRPr="0004348C">
          <w:rPr>
            <w:rStyle w:val="Hyperlink"/>
            <w:rFonts w:ascii="Verdana" w:hAnsi="Verdana"/>
            <w:sz w:val="20"/>
            <w:szCs w:val="20"/>
          </w:rPr>
          <w:t>General Education Competency Committee findings</w:t>
        </w:r>
      </w:hyperlink>
      <w:r w:rsidRPr="0004348C">
        <w:rPr>
          <w:rFonts w:ascii="Verdana" w:hAnsi="Verdana"/>
          <w:sz w:val="20"/>
          <w:szCs w:val="20"/>
        </w:rPr>
        <w:t xml:space="preserve"> tell </w:t>
      </w:r>
      <w:r>
        <w:rPr>
          <w:rFonts w:ascii="Verdana" w:hAnsi="Verdana"/>
          <w:sz w:val="20"/>
          <w:szCs w:val="20"/>
        </w:rPr>
        <w:t xml:space="preserve">you, what the </w:t>
      </w:r>
      <w:hyperlink r:id="rId7" w:history="1">
        <w:r w:rsidRPr="0004348C">
          <w:rPr>
            <w:rStyle w:val="Hyperlink"/>
            <w:rFonts w:ascii="Verdana" w:hAnsi="Verdana"/>
            <w:sz w:val="20"/>
            <w:szCs w:val="20"/>
          </w:rPr>
          <w:t>Graduate Student Survey General Education Competency Results</w:t>
        </w:r>
      </w:hyperlink>
      <w:r w:rsidRPr="0004348C">
        <w:rPr>
          <w:rFonts w:ascii="Verdana" w:hAnsi="Verdana"/>
          <w:sz w:val="20"/>
          <w:szCs w:val="20"/>
        </w:rPr>
        <w:t xml:space="preserve"> tell </w:t>
      </w:r>
      <w:r>
        <w:rPr>
          <w:rFonts w:ascii="Verdana" w:hAnsi="Verdana"/>
          <w:sz w:val="20"/>
          <w:szCs w:val="20"/>
        </w:rPr>
        <w:t>you, etc.</w:t>
      </w:r>
    </w:p>
    <w:p w:rsidR="00D93474" w:rsidRDefault="00D93474" w:rsidP="00D93474">
      <w:pPr>
        <w:pStyle w:val="ListParagraph"/>
        <w:numPr>
          <w:ilvl w:val="1"/>
          <w:numId w:val="2"/>
        </w:numPr>
        <w:tabs>
          <w:tab w:val="left" w:pos="360"/>
        </w:tabs>
        <w:jc w:val="left"/>
        <w:rPr>
          <w:rFonts w:ascii="Verdana" w:hAnsi="Verdana"/>
          <w:sz w:val="20"/>
          <w:szCs w:val="20"/>
        </w:rPr>
      </w:pPr>
      <w:r w:rsidRPr="00921A5D">
        <w:rPr>
          <w:rFonts w:ascii="Verdana" w:hAnsi="Verdana"/>
          <w:b/>
          <w:sz w:val="20"/>
          <w:szCs w:val="20"/>
        </w:rPr>
        <w:t>External</w:t>
      </w:r>
      <w:r>
        <w:rPr>
          <w:rFonts w:ascii="Verdana" w:hAnsi="Verdana"/>
          <w:sz w:val="20"/>
          <w:szCs w:val="20"/>
        </w:rPr>
        <w:t xml:space="preserve"> – Consider what </w:t>
      </w:r>
      <w:hyperlink r:id="rId8" w:history="1">
        <w:r w:rsidRPr="0004348C">
          <w:rPr>
            <w:rStyle w:val="Hyperlink"/>
            <w:rFonts w:ascii="Verdana" w:hAnsi="Verdana"/>
            <w:sz w:val="20"/>
            <w:szCs w:val="20"/>
          </w:rPr>
          <w:t>CCSSE</w:t>
        </w:r>
      </w:hyperlink>
      <w:r w:rsidRPr="0004348C">
        <w:rPr>
          <w:rFonts w:ascii="Verdana" w:hAnsi="Verdana"/>
          <w:sz w:val="20"/>
          <w:szCs w:val="20"/>
        </w:rPr>
        <w:t xml:space="preserve"> tell</w:t>
      </w:r>
      <w:r>
        <w:rPr>
          <w:rFonts w:ascii="Verdana" w:hAnsi="Verdana"/>
          <w:sz w:val="20"/>
          <w:szCs w:val="20"/>
        </w:rPr>
        <w:t>s</w:t>
      </w:r>
      <w:r w:rsidRPr="0004348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you</w:t>
      </w:r>
      <w:r w:rsidRPr="0004348C">
        <w:rPr>
          <w:rFonts w:ascii="Verdana" w:hAnsi="Verdana"/>
          <w:sz w:val="20"/>
          <w:szCs w:val="20"/>
        </w:rPr>
        <w:t xml:space="preserve"> (p</w:t>
      </w:r>
      <w:r>
        <w:rPr>
          <w:rFonts w:ascii="Verdana" w:hAnsi="Verdana"/>
          <w:sz w:val="20"/>
          <w:szCs w:val="20"/>
        </w:rPr>
        <w:t>ages</w:t>
      </w:r>
      <w:r w:rsidRPr="0004348C">
        <w:rPr>
          <w:rFonts w:ascii="Verdana" w:hAnsi="Verdana"/>
          <w:sz w:val="20"/>
          <w:szCs w:val="20"/>
        </w:rPr>
        <w:t xml:space="preserve"> 51-61)</w:t>
      </w:r>
      <w:r>
        <w:rPr>
          <w:rFonts w:ascii="Verdana" w:hAnsi="Verdana"/>
          <w:sz w:val="20"/>
          <w:szCs w:val="20"/>
        </w:rPr>
        <w:t>, what any specialized accreditation expectations/findings tell you, etc.</w:t>
      </w:r>
    </w:p>
    <w:p w:rsidR="00D93474" w:rsidRPr="00291B7B" w:rsidRDefault="00D93474" w:rsidP="00D93474">
      <w:pPr>
        <w:pStyle w:val="ListParagraph"/>
        <w:numPr>
          <w:ilvl w:val="1"/>
          <w:numId w:val="2"/>
        </w:numPr>
        <w:tabs>
          <w:tab w:val="left" w:pos="36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Updated Data – </w:t>
      </w:r>
      <w:r>
        <w:rPr>
          <w:rFonts w:ascii="Verdana" w:hAnsi="Verdana"/>
          <w:sz w:val="20"/>
          <w:szCs w:val="20"/>
        </w:rPr>
        <w:t xml:space="preserve">Additional internal data (e.g. Graduate Student Survey results by major) and external data (e.g. SENSE results) will be provided to academic deans and/or listed on </w:t>
      </w:r>
      <w:hyperlink r:id="rId9" w:history="1">
        <w:r w:rsidRPr="00E424E2">
          <w:rPr>
            <w:rStyle w:val="Hyperlink"/>
            <w:rFonts w:ascii="Verdana" w:hAnsi="Verdana"/>
            <w:sz w:val="20"/>
            <w:szCs w:val="20"/>
          </w:rPr>
          <w:t>AC’s survey’s page</w:t>
        </w:r>
      </w:hyperlink>
      <w:r>
        <w:rPr>
          <w:rFonts w:ascii="Verdana" w:hAnsi="Verdana"/>
          <w:sz w:val="20"/>
          <w:szCs w:val="20"/>
        </w:rPr>
        <w:t xml:space="preserve"> as the results become available.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241FF" w:rsidRDefault="00A241FF" w:rsidP="00A241FF">
      <w:pPr>
        <w:jc w:val="left"/>
      </w:pPr>
    </w:p>
    <w:sectPr w:rsidR="00A24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708"/>
    <w:multiLevelType w:val="hybridMultilevel"/>
    <w:tmpl w:val="91FE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A4518"/>
    <w:multiLevelType w:val="hybridMultilevel"/>
    <w:tmpl w:val="FE8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FF"/>
    <w:rsid w:val="000977B5"/>
    <w:rsid w:val="000E0CCB"/>
    <w:rsid w:val="00107FF9"/>
    <w:rsid w:val="002B312E"/>
    <w:rsid w:val="00373429"/>
    <w:rsid w:val="003955A7"/>
    <w:rsid w:val="003C4053"/>
    <w:rsid w:val="005E41B2"/>
    <w:rsid w:val="009E0D58"/>
    <w:rsid w:val="00A241FF"/>
    <w:rsid w:val="00D53E71"/>
    <w:rsid w:val="00D84067"/>
    <w:rsid w:val="00D93474"/>
    <w:rsid w:val="00E3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0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E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0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E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x.edu/iea/filecabinet/1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ctx.edu/iea/filecabinet/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tx.edu/iea/index.php?module=article&amp;id=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tx.edu/iea/index.php?module=article&amp;id=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12</cp:revision>
  <dcterms:created xsi:type="dcterms:W3CDTF">2013-02-01T21:46:00Z</dcterms:created>
  <dcterms:modified xsi:type="dcterms:W3CDTF">2013-03-07T01:19:00Z</dcterms:modified>
</cp:coreProperties>
</file>