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8D2574">
      <w:pPr>
        <w:tabs>
          <w:tab w:val="left" w:pos="2340"/>
        </w:tabs>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D724A5">
        <w:rPr>
          <w:rFonts w:asciiTheme="majorHAnsi" w:hAnsiTheme="majorHAnsi"/>
          <w:b/>
          <w:color w:val="EEECE1" w:themeColor="background2"/>
          <w:sz w:val="24"/>
        </w:rPr>
        <w:t>Reading</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255" w:type="dxa"/>
        <w:tblLook w:val="04A0" w:firstRow="1" w:lastRow="0" w:firstColumn="1" w:lastColumn="0" w:noHBand="0" w:noVBand="1"/>
      </w:tblPr>
      <w:tblGrid>
        <w:gridCol w:w="8753"/>
      </w:tblGrid>
      <w:tr w:rsidR="004D3599" w:rsidTr="0008776E">
        <w:tc>
          <w:tcPr>
            <w:tcW w:w="8753" w:type="dxa"/>
          </w:tcPr>
          <w:p w:rsidR="004D3599" w:rsidRPr="004D3599" w:rsidRDefault="00D724A5"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Reading</w:t>
            </w: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255" w:type="dxa"/>
        <w:tblLook w:val="04A0" w:firstRow="1" w:lastRow="0" w:firstColumn="1" w:lastColumn="0" w:noHBand="0" w:noVBand="1"/>
      </w:tblPr>
      <w:tblGrid>
        <w:gridCol w:w="8753"/>
      </w:tblGrid>
      <w:tr w:rsidR="000E73E1" w:rsidTr="0008776E">
        <w:tc>
          <w:tcPr>
            <w:tcW w:w="8753"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255" w:type="dxa"/>
        <w:tblLook w:val="04A0" w:firstRow="1" w:lastRow="0" w:firstColumn="1" w:lastColumn="0" w:noHBand="0" w:noVBand="1"/>
      </w:tblPr>
      <w:tblGrid>
        <w:gridCol w:w="8753"/>
      </w:tblGrid>
      <w:tr w:rsidR="008F1F0C" w:rsidTr="0008776E">
        <w:tc>
          <w:tcPr>
            <w:tcW w:w="8753" w:type="dxa"/>
          </w:tcPr>
          <w:p w:rsidR="008F1F0C" w:rsidRPr="004D3599" w:rsidRDefault="00DF5100" w:rsidP="00C4583E">
            <w:pPr>
              <w:pStyle w:val="ListParagraph"/>
              <w:ind w:left="0"/>
              <w:rPr>
                <w:rFonts w:ascii="Franklin Gothic Book" w:hAnsi="Franklin Gothic Book"/>
                <w:color w:val="4F81BD" w:themeColor="accent1"/>
              </w:rPr>
            </w:pPr>
            <w:r>
              <w:rPr>
                <w:rFonts w:ascii="Franklin Gothic Book" w:hAnsi="Franklin Gothic Book"/>
                <w:color w:val="4F81BD" w:themeColor="accent1"/>
              </w:rPr>
              <w:t>2014-2015</w:t>
            </w: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255" w:type="dxa"/>
        <w:tblLook w:val="04A0" w:firstRow="1" w:lastRow="0" w:firstColumn="1" w:lastColumn="0" w:noHBand="0" w:noVBand="1"/>
      </w:tblPr>
      <w:tblGrid>
        <w:gridCol w:w="8753"/>
      </w:tblGrid>
      <w:tr w:rsidR="004D3599" w:rsidTr="0008776E">
        <w:tc>
          <w:tcPr>
            <w:tcW w:w="8753"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255" w:type="dxa"/>
        <w:tblLook w:val="04A0" w:firstRow="1" w:lastRow="0" w:firstColumn="1" w:lastColumn="0" w:noHBand="0" w:noVBand="1"/>
      </w:tblPr>
      <w:tblGrid>
        <w:gridCol w:w="8753"/>
      </w:tblGrid>
      <w:tr w:rsidR="00770313" w:rsidTr="0008776E">
        <w:tc>
          <w:tcPr>
            <w:tcW w:w="8753"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255" w:type="dxa"/>
        <w:tblLook w:val="04A0" w:firstRow="1" w:lastRow="0" w:firstColumn="1" w:lastColumn="0" w:noHBand="0" w:noVBand="1"/>
      </w:tblPr>
      <w:tblGrid>
        <w:gridCol w:w="8753"/>
      </w:tblGrid>
      <w:tr w:rsidR="004D3599" w:rsidTr="0008776E">
        <w:tc>
          <w:tcPr>
            <w:tcW w:w="8753"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435" w:type="dxa"/>
        <w:tblLayout w:type="fixed"/>
        <w:tblLook w:val="04A0" w:firstRow="1" w:lastRow="0" w:firstColumn="1" w:lastColumn="0" w:noHBand="0" w:noVBand="1"/>
      </w:tblPr>
      <w:tblGrid>
        <w:gridCol w:w="4230"/>
        <w:gridCol w:w="1294"/>
        <w:gridCol w:w="1313"/>
        <w:gridCol w:w="1313"/>
        <w:gridCol w:w="1205"/>
      </w:tblGrid>
      <w:tr w:rsidR="004A4017" w:rsidTr="0008776E">
        <w:tc>
          <w:tcPr>
            <w:tcW w:w="423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294"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08776E">
        <w:tc>
          <w:tcPr>
            <w:tcW w:w="423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08776E">
        <w:tc>
          <w:tcPr>
            <w:tcW w:w="423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08776E">
        <w:tc>
          <w:tcPr>
            <w:tcW w:w="423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08776E">
        <w:tc>
          <w:tcPr>
            <w:tcW w:w="423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08776E">
        <w:tc>
          <w:tcPr>
            <w:tcW w:w="4230" w:type="dxa"/>
          </w:tcPr>
          <w:p w:rsidR="004A4017" w:rsidRPr="00EF0844" w:rsidRDefault="00C83725"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08776E">
        <w:tc>
          <w:tcPr>
            <w:tcW w:w="4230" w:type="dxa"/>
          </w:tcPr>
          <w:p w:rsidR="004A4017" w:rsidRPr="00EF0844" w:rsidRDefault="00C83725"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9529C2" w:rsidTr="0008776E">
        <w:tc>
          <w:tcPr>
            <w:tcW w:w="4230" w:type="dxa"/>
          </w:tcPr>
          <w:p w:rsidR="009529C2" w:rsidRDefault="00C83725"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294"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08776E">
        <w:tc>
          <w:tcPr>
            <w:tcW w:w="7853" w:type="dxa"/>
          </w:tcPr>
          <w:p w:rsidR="0095279C" w:rsidRPr="004D3599" w:rsidRDefault="00F70814" w:rsidP="00D724A5">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w:t>
            </w:r>
            <w:r w:rsidR="00393843">
              <w:rPr>
                <w:rFonts w:ascii="Franklin Gothic Book" w:hAnsi="Franklin Gothic Book"/>
                <w:color w:val="4F81BD" w:themeColor="accent1"/>
              </w:rPr>
              <w:t>Developmental courses support AC’s programs, but do not have their own major codes.</w:t>
            </w: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08776E">
        <w:tc>
          <w:tcPr>
            <w:tcW w:w="7853" w:type="dxa"/>
          </w:tcPr>
          <w:p w:rsidR="0095279C" w:rsidRPr="004D3599" w:rsidRDefault="00393843" w:rsidP="00D724A5">
            <w:pPr>
              <w:pStyle w:val="ListParagraph"/>
              <w:ind w:left="0"/>
              <w:rPr>
                <w:rFonts w:ascii="Franklin Gothic Book" w:hAnsi="Franklin Gothic Book"/>
                <w:color w:val="4F81BD" w:themeColor="accent1"/>
              </w:rPr>
            </w:pPr>
            <w:r>
              <w:rPr>
                <w:rFonts w:ascii="Franklin Gothic Book" w:hAnsi="Franklin Gothic Book"/>
                <w:color w:val="4F81BD" w:themeColor="accent1"/>
              </w:rPr>
              <w:t>N/A – Developmental courses support AC’s programs, but do not have their own major codes.</w:t>
            </w: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08776E">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08776E">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08776E">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08776E">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08776E">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08776E">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08776E">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08776E">
        <w:tc>
          <w:tcPr>
            <w:tcW w:w="4881" w:type="dxa"/>
          </w:tcPr>
          <w:p w:rsidR="00F02EB0" w:rsidRPr="00EF0844" w:rsidRDefault="00C83725"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3B7403" w:rsidTr="0008776E">
        <w:tc>
          <w:tcPr>
            <w:tcW w:w="4881" w:type="dxa"/>
          </w:tcPr>
          <w:p w:rsidR="003B7403" w:rsidRDefault="00C83725" w:rsidP="00D724A5">
            <w:pPr>
              <w:rPr>
                <w:rFonts w:ascii="Franklin Gothic Book" w:hAnsi="Franklin Gothic Book"/>
              </w:rPr>
            </w:pPr>
            <w:r>
              <w:rPr>
                <w:rFonts w:ascii="Franklin Gothic Book" w:hAnsi="Franklin Gothic Book"/>
              </w:rPr>
              <w:t>h</w:t>
            </w:r>
            <w:r w:rsidR="003B7403">
              <w:rPr>
                <w:rFonts w:ascii="Franklin Gothic Book" w:hAnsi="Franklin Gothic Book"/>
              </w:rPr>
              <w:t xml:space="preserve">. </w:t>
            </w:r>
            <w:r w:rsidR="00CA5B47">
              <w:rPr>
                <w:rFonts w:ascii="Franklin Gothic Book" w:hAnsi="Franklin Gothic Book"/>
              </w:rPr>
              <w:t xml:space="preserve">Success in General Education Courses after    </w:t>
            </w:r>
            <w:r w:rsidR="00CA5B47">
              <w:rPr>
                <w:rFonts w:ascii="Franklin Gothic Book" w:hAnsi="Franklin Gothic Book"/>
              </w:rPr>
              <w:br/>
              <w:t xml:space="preserve">   </w:t>
            </w:r>
            <w:r w:rsidR="00D724A5">
              <w:rPr>
                <w:rFonts w:ascii="Franklin Gothic Book" w:hAnsi="Franklin Gothic Book"/>
              </w:rPr>
              <w:t>Reading</w:t>
            </w:r>
            <w:r w:rsidR="00CA5B47">
              <w:rPr>
                <w:rFonts w:ascii="Franklin Gothic Book" w:hAnsi="Franklin Gothic Book"/>
              </w:rPr>
              <w:t xml:space="preserve"> Course Completion</w:t>
            </w:r>
          </w:p>
        </w:tc>
        <w:tc>
          <w:tcPr>
            <w:tcW w:w="1450" w:type="dxa"/>
          </w:tcPr>
          <w:p w:rsidR="003B7403" w:rsidRPr="00FF0E36" w:rsidRDefault="003B7403" w:rsidP="00A56172">
            <w:pPr>
              <w:jc w:val="center"/>
              <w:rPr>
                <w:rFonts w:ascii="Franklin Gothic Book" w:hAnsi="Franklin Gothic Book"/>
                <w:color w:val="FF0000"/>
              </w:rPr>
            </w:pPr>
          </w:p>
        </w:tc>
        <w:tc>
          <w:tcPr>
            <w:tcW w:w="1340" w:type="dxa"/>
          </w:tcPr>
          <w:p w:rsidR="003B7403" w:rsidRPr="00FF0E36" w:rsidRDefault="003B7403" w:rsidP="00A56172">
            <w:pPr>
              <w:jc w:val="center"/>
              <w:rPr>
                <w:rFonts w:ascii="Franklin Gothic Book" w:hAnsi="Franklin Gothic Book"/>
                <w:color w:val="FF0000"/>
              </w:rPr>
            </w:pPr>
          </w:p>
        </w:tc>
        <w:tc>
          <w:tcPr>
            <w:tcW w:w="1594" w:type="dxa"/>
          </w:tcPr>
          <w:p w:rsidR="003B7403" w:rsidRPr="00FF0E36" w:rsidRDefault="003B7403" w:rsidP="00A56172">
            <w:pPr>
              <w:jc w:val="center"/>
              <w:rPr>
                <w:rFonts w:ascii="Franklin Gothic Book" w:hAnsi="Franklin Gothic Book"/>
                <w:color w:val="FF0000"/>
              </w:rPr>
            </w:pPr>
          </w:p>
        </w:tc>
      </w:tr>
      <w:tr w:rsidR="009529C2" w:rsidTr="0008776E">
        <w:tc>
          <w:tcPr>
            <w:tcW w:w="4881" w:type="dxa"/>
          </w:tcPr>
          <w:p w:rsidR="009529C2" w:rsidRDefault="00C83725" w:rsidP="00364099">
            <w:pPr>
              <w:rPr>
                <w:rFonts w:ascii="Franklin Gothic Book" w:hAnsi="Franklin Gothic Book"/>
              </w:rPr>
            </w:pPr>
            <w:r>
              <w:rPr>
                <w:rFonts w:ascii="Franklin Gothic Book" w:hAnsi="Franklin Gothic Book"/>
              </w:rPr>
              <w:t>i</w:t>
            </w:r>
            <w:bookmarkStart w:id="0" w:name="_GoBack"/>
            <w:bookmarkEnd w:id="0"/>
            <w:r w:rsidR="003B7403">
              <w:rPr>
                <w:rFonts w:ascii="Franklin Gothic Book" w:hAnsi="Franklin Gothic Book"/>
              </w:rPr>
              <w:t xml:space="preserve">. </w:t>
            </w:r>
            <w:r w:rsidR="009529C2">
              <w:rPr>
                <w:rFonts w:ascii="Franklin Gothic Book" w:hAnsi="Franklin Gothic Book"/>
              </w:rPr>
              <w:t xml:space="preserve"> </w:t>
            </w:r>
            <w:r w:rsidR="00054CD6" w:rsidRPr="0008776E">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08776E">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D27D31" w:rsidRPr="00CA5B47" w:rsidRDefault="00D27D31" w:rsidP="00CA5B47">
      <w:pPr>
        <w:spacing w:after="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lastRenderedPageBreak/>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08776E">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08776E">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08776E">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08776E">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08776E">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08776E">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165" w:type="dxa"/>
        <w:tblLook w:val="04A0" w:firstRow="1" w:lastRow="0" w:firstColumn="1" w:lastColumn="0" w:noHBand="0" w:noVBand="1"/>
      </w:tblPr>
      <w:tblGrid>
        <w:gridCol w:w="8843"/>
      </w:tblGrid>
      <w:tr w:rsidR="00166853" w:rsidTr="0008776E">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251"/>
        <w:gridCol w:w="5772"/>
      </w:tblGrid>
      <w:tr w:rsidR="00351CA0" w:rsidTr="0008776E">
        <w:tc>
          <w:tcPr>
            <w:tcW w:w="3251"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772"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08776E">
        <w:tc>
          <w:tcPr>
            <w:tcW w:w="3251"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772"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08776E">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08776E">
        <w:tc>
          <w:tcPr>
            <w:tcW w:w="3251"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08776E">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08776E">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08776E">
        <w:tc>
          <w:tcPr>
            <w:tcW w:w="3251"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08776E">
        <w:tc>
          <w:tcPr>
            <w:tcW w:w="3251"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165" w:type="dxa"/>
        <w:tblLook w:val="04A0" w:firstRow="1" w:lastRow="0" w:firstColumn="1" w:lastColumn="0" w:noHBand="0" w:noVBand="1"/>
      </w:tblPr>
      <w:tblGrid>
        <w:gridCol w:w="8843"/>
      </w:tblGrid>
      <w:tr w:rsidR="00166853" w:rsidTr="0008776E">
        <w:tc>
          <w:tcPr>
            <w:tcW w:w="884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165" w:type="dxa"/>
        <w:tblLook w:val="04A0" w:firstRow="1" w:lastRow="0" w:firstColumn="1" w:lastColumn="0" w:noHBand="0" w:noVBand="1"/>
      </w:tblPr>
      <w:tblGrid>
        <w:gridCol w:w="8843"/>
      </w:tblGrid>
      <w:tr w:rsidR="00B77A03" w:rsidTr="0008776E">
        <w:tc>
          <w:tcPr>
            <w:tcW w:w="8843"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proofErr w:type="gramStart"/>
      <w:r w:rsidR="00545478" w:rsidRPr="000A341B">
        <w:rPr>
          <w:rFonts w:ascii="Franklin Gothic Book" w:hAnsi="Franklin Gothic Book"/>
          <w:color w:val="FF0000"/>
          <w:sz w:val="24"/>
        </w:rPr>
        <w:t>:</w:t>
      </w:r>
      <w:proofErr w:type="gramEnd"/>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08776E">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lastRenderedPageBreak/>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6"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08776E">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08776E">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08776E">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08776E">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08776E">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08776E">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08776E">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83725" w:rsidRPr="00C83725">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8776E"/>
    <w:rsid w:val="00090BAA"/>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38ED"/>
    <w:rsid w:val="0038644E"/>
    <w:rsid w:val="00393843"/>
    <w:rsid w:val="003A470E"/>
    <w:rsid w:val="003A58A2"/>
    <w:rsid w:val="003A5B0E"/>
    <w:rsid w:val="003B2247"/>
    <w:rsid w:val="003B7403"/>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3337"/>
    <w:rsid w:val="0085179E"/>
    <w:rsid w:val="00872DD2"/>
    <w:rsid w:val="008A25DD"/>
    <w:rsid w:val="008A284C"/>
    <w:rsid w:val="008A4C97"/>
    <w:rsid w:val="008A58CB"/>
    <w:rsid w:val="008A593D"/>
    <w:rsid w:val="008A72FC"/>
    <w:rsid w:val="008B36B2"/>
    <w:rsid w:val="008B4B47"/>
    <w:rsid w:val="008C3F0E"/>
    <w:rsid w:val="008C475F"/>
    <w:rsid w:val="008D2574"/>
    <w:rsid w:val="008D44A5"/>
    <w:rsid w:val="008D5A7F"/>
    <w:rsid w:val="008F1723"/>
    <w:rsid w:val="008F1F0C"/>
    <w:rsid w:val="008F4965"/>
    <w:rsid w:val="00901160"/>
    <w:rsid w:val="00903373"/>
    <w:rsid w:val="00903466"/>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83725"/>
    <w:rsid w:val="00C9048D"/>
    <w:rsid w:val="00C92D11"/>
    <w:rsid w:val="00C976E6"/>
    <w:rsid w:val="00CA11F6"/>
    <w:rsid w:val="00CA2076"/>
    <w:rsid w:val="00CA5B47"/>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27D31"/>
    <w:rsid w:val="00D379AB"/>
    <w:rsid w:val="00D422AA"/>
    <w:rsid w:val="00D42D3F"/>
    <w:rsid w:val="00D43E6A"/>
    <w:rsid w:val="00D4501F"/>
    <w:rsid w:val="00D50382"/>
    <w:rsid w:val="00D50E06"/>
    <w:rsid w:val="00D630E4"/>
    <w:rsid w:val="00D67C83"/>
    <w:rsid w:val="00D71BDD"/>
    <w:rsid w:val="00D724A5"/>
    <w:rsid w:val="00D731A1"/>
    <w:rsid w:val="00D76284"/>
    <w:rsid w:val="00D86964"/>
    <w:rsid w:val="00D92D85"/>
    <w:rsid w:val="00D94106"/>
    <w:rsid w:val="00D95F90"/>
    <w:rsid w:val="00D96362"/>
    <w:rsid w:val="00DA0694"/>
    <w:rsid w:val="00DA074B"/>
    <w:rsid w:val="00DA3F0D"/>
    <w:rsid w:val="00DB0AB0"/>
    <w:rsid w:val="00DB49B3"/>
    <w:rsid w:val="00DC0330"/>
    <w:rsid w:val="00DC450D"/>
    <w:rsid w:val="00DD0152"/>
    <w:rsid w:val="00DD5AE8"/>
    <w:rsid w:val="00DE096E"/>
    <w:rsid w:val="00DE2732"/>
    <w:rsid w:val="00DF5100"/>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70814"/>
    <w:rsid w:val="00F8427C"/>
    <w:rsid w:val="00F84DA3"/>
    <w:rsid w:val="00F915DC"/>
    <w:rsid w:val="00F91F83"/>
    <w:rsid w:val="00F97DCF"/>
    <w:rsid w:val="00FA2197"/>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s://www.actx.edu/iea/filecabinet/117"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fontTable" Target="fontTable.xm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1CF6-3F71-4849-8C22-4BB372C7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13</cp:revision>
  <cp:lastPrinted>2014-04-04T00:41:00Z</cp:lastPrinted>
  <dcterms:created xsi:type="dcterms:W3CDTF">2015-02-03T17:08:00Z</dcterms:created>
  <dcterms:modified xsi:type="dcterms:W3CDTF">2015-03-18T19:15:00Z</dcterms:modified>
</cp:coreProperties>
</file>