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FEB3F" w14:textId="29514386" w:rsidR="00417EC6" w:rsidRDefault="00417EC6" w:rsidP="00417E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683684">
        <w:rPr>
          <w:rFonts w:ascii="Arial" w:hAnsi="Arial" w:cs="Arial"/>
          <w:b/>
          <w:sz w:val="22"/>
          <w:szCs w:val="22"/>
        </w:rPr>
        <w:t>Personal Responsibility Rubric</w:t>
      </w:r>
    </w:p>
    <w:p w14:paraId="468B6579" w14:textId="77777777" w:rsidR="00683684" w:rsidRDefault="00683684" w:rsidP="00417EC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030D8C2C" w14:textId="19E0222A" w:rsidR="00683684" w:rsidRPr="00683684" w:rsidRDefault="00683684" w:rsidP="00683684">
      <w:pPr>
        <w:pStyle w:val="NormalWeb"/>
        <w:spacing w:before="0" w:beforeAutospacing="0" w:after="0" w:afterAutospacing="0"/>
        <w:jc w:val="left"/>
        <w:rPr>
          <w:rFonts w:ascii="Arial" w:hAnsi="Arial" w:cs="Arial"/>
          <w:sz w:val="20"/>
          <w:szCs w:val="20"/>
        </w:rPr>
      </w:pPr>
      <w:r w:rsidRPr="00683684">
        <w:rPr>
          <w:rFonts w:ascii="Arial" w:hAnsi="Arial" w:cs="Arial"/>
          <w:sz w:val="20"/>
          <w:szCs w:val="20"/>
        </w:rPr>
        <w:t xml:space="preserve">THECB Definition:  </w:t>
      </w:r>
      <w:r>
        <w:rPr>
          <w:rFonts w:ascii="Arial" w:hAnsi="Arial" w:cs="Arial"/>
          <w:sz w:val="20"/>
          <w:szCs w:val="20"/>
        </w:rPr>
        <w:t>Ability to connect choices, actions and consequences to ethical decision-making.</w:t>
      </w:r>
    </w:p>
    <w:p w14:paraId="56F0A022" w14:textId="77777777" w:rsidR="00417EC6" w:rsidRDefault="00417EC6" w:rsidP="00417EC6">
      <w:pPr>
        <w:rPr>
          <w:rFonts w:ascii="Arial" w:hAnsi="Arial" w:cs="Arial"/>
          <w:b/>
          <w:sz w:val="16"/>
          <w:szCs w:val="16"/>
        </w:rPr>
      </w:pPr>
    </w:p>
    <w:p w14:paraId="683C26CB" w14:textId="77777777" w:rsidR="00417EC6" w:rsidRDefault="00417EC6" w:rsidP="00417EC6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19"/>
        <w:tblW w:w="10677" w:type="dxa"/>
        <w:tblLayout w:type="fixed"/>
        <w:tblLook w:val="04A0" w:firstRow="1" w:lastRow="0" w:firstColumn="1" w:lastColumn="0" w:noHBand="0" w:noVBand="1"/>
      </w:tblPr>
      <w:tblGrid>
        <w:gridCol w:w="1785"/>
        <w:gridCol w:w="1788"/>
        <w:gridCol w:w="1788"/>
        <w:gridCol w:w="1721"/>
        <w:gridCol w:w="1804"/>
        <w:gridCol w:w="1791"/>
      </w:tblGrid>
      <w:tr w:rsidR="00683684" w14:paraId="14D3F6F5" w14:textId="77777777" w:rsidTr="00683684">
        <w:tc>
          <w:tcPr>
            <w:tcW w:w="1785" w:type="dxa"/>
          </w:tcPr>
          <w:p w14:paraId="5C4D4CF8" w14:textId="77777777" w:rsidR="00683684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SLO’s/Indicators</w:t>
            </w:r>
          </w:p>
          <w:p w14:paraId="1C8EAC73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87A6FE7" w14:textId="77777777" w:rsidR="00683684" w:rsidRDefault="00683684" w:rsidP="00683684">
            <w:pPr>
              <w:rPr>
                <w:rFonts w:ascii="Arial" w:hAnsi="Arial" w:cs="Arial"/>
                <w:sz w:val="20"/>
                <w:szCs w:val="20"/>
              </w:rPr>
            </w:pPr>
            <w:r w:rsidRPr="009B498C">
              <w:rPr>
                <w:rFonts w:ascii="Arial" w:hAnsi="Arial" w:cs="Arial"/>
                <w:sz w:val="20"/>
                <w:szCs w:val="20"/>
              </w:rPr>
              <w:t>Exemplary</w:t>
            </w:r>
          </w:p>
          <w:p w14:paraId="7C23A643" w14:textId="77777777" w:rsidR="00683684" w:rsidRPr="009B498C" w:rsidRDefault="00683684" w:rsidP="006836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88" w:type="dxa"/>
          </w:tcPr>
          <w:p w14:paraId="7EAE6520" w14:textId="77777777" w:rsidR="00683684" w:rsidRDefault="00683684" w:rsidP="00683684">
            <w:pPr>
              <w:rPr>
                <w:rFonts w:ascii="Arial" w:hAnsi="Arial" w:cs="Arial"/>
                <w:sz w:val="20"/>
                <w:szCs w:val="20"/>
              </w:rPr>
            </w:pPr>
            <w:r w:rsidRPr="009B498C">
              <w:rPr>
                <w:rFonts w:ascii="Arial" w:hAnsi="Arial" w:cs="Arial"/>
                <w:sz w:val="20"/>
                <w:szCs w:val="20"/>
              </w:rPr>
              <w:t>Proficient</w:t>
            </w:r>
          </w:p>
          <w:p w14:paraId="036A8885" w14:textId="77777777" w:rsidR="00683684" w:rsidRPr="009B498C" w:rsidRDefault="00683684" w:rsidP="006836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1" w:type="dxa"/>
          </w:tcPr>
          <w:p w14:paraId="29040E97" w14:textId="77777777" w:rsidR="00683684" w:rsidRDefault="00683684" w:rsidP="00683684">
            <w:pPr>
              <w:rPr>
                <w:rFonts w:ascii="Arial" w:hAnsi="Arial" w:cs="Arial"/>
                <w:sz w:val="20"/>
                <w:szCs w:val="20"/>
              </w:rPr>
            </w:pPr>
            <w:r w:rsidRPr="009B498C">
              <w:rPr>
                <w:rFonts w:ascii="Arial" w:hAnsi="Arial" w:cs="Arial"/>
                <w:sz w:val="20"/>
                <w:szCs w:val="20"/>
              </w:rPr>
              <w:t>Emerging</w:t>
            </w:r>
          </w:p>
          <w:p w14:paraId="1BB07A25" w14:textId="77777777" w:rsidR="00683684" w:rsidRPr="009B498C" w:rsidRDefault="00683684" w:rsidP="006836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4" w:type="dxa"/>
          </w:tcPr>
          <w:p w14:paraId="5C4A9543" w14:textId="77777777" w:rsidR="00683684" w:rsidRDefault="00683684" w:rsidP="00683684">
            <w:pPr>
              <w:rPr>
                <w:rFonts w:ascii="Arial" w:hAnsi="Arial" w:cs="Arial"/>
                <w:sz w:val="20"/>
                <w:szCs w:val="20"/>
              </w:rPr>
            </w:pPr>
            <w:r w:rsidRPr="009B498C">
              <w:rPr>
                <w:rFonts w:ascii="Arial" w:hAnsi="Arial" w:cs="Arial"/>
                <w:sz w:val="20"/>
                <w:szCs w:val="20"/>
              </w:rPr>
              <w:t>Insufficient</w:t>
            </w:r>
          </w:p>
          <w:p w14:paraId="344D118B" w14:textId="77777777" w:rsidR="00683684" w:rsidRPr="009B498C" w:rsidRDefault="00683684" w:rsidP="006836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0BA6D20C" w14:textId="77777777" w:rsidR="00683684" w:rsidRDefault="00683684" w:rsidP="00683684">
            <w:pPr>
              <w:rPr>
                <w:rFonts w:ascii="Arial" w:hAnsi="Arial" w:cs="Arial"/>
                <w:sz w:val="20"/>
                <w:szCs w:val="20"/>
              </w:rPr>
            </w:pPr>
            <w:r w:rsidRPr="009B498C">
              <w:rPr>
                <w:rFonts w:ascii="Arial" w:hAnsi="Arial" w:cs="Arial"/>
                <w:sz w:val="20"/>
                <w:szCs w:val="20"/>
              </w:rPr>
              <w:t>Incomplete</w:t>
            </w:r>
          </w:p>
          <w:p w14:paraId="19D4D3F4" w14:textId="77777777" w:rsidR="00683684" w:rsidRPr="009B498C" w:rsidRDefault="00683684" w:rsidP="006836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83684" w14:paraId="258D72B8" w14:textId="77777777" w:rsidTr="00683684">
        <w:tc>
          <w:tcPr>
            <w:tcW w:w="1785" w:type="dxa"/>
          </w:tcPr>
          <w:p w14:paraId="22B5DB24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Inquiry</w:t>
            </w:r>
          </w:p>
        </w:tc>
        <w:tc>
          <w:tcPr>
            <w:tcW w:w="1788" w:type="dxa"/>
          </w:tcPr>
          <w:p w14:paraId="35A4A827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Student demonstrates an ability to analytically interpret evidence, arguments, and/or alternative points of view and to construct novel, untested solutions to problems.</w:t>
            </w:r>
          </w:p>
        </w:tc>
        <w:tc>
          <w:tcPr>
            <w:tcW w:w="1788" w:type="dxa"/>
          </w:tcPr>
          <w:p w14:paraId="08D3C33A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Student demonstrates an ability to analytically interpret evidence, arguments, and/or alternative points of view and to apply the information to solve problems.</w:t>
            </w:r>
          </w:p>
        </w:tc>
        <w:tc>
          <w:tcPr>
            <w:tcW w:w="1721" w:type="dxa"/>
          </w:tcPr>
          <w:p w14:paraId="3EF5407E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Student demonstrates an ability to interpret evidence, arguments, and/or alternative points of view and some ability to solve problems.</w:t>
            </w:r>
          </w:p>
        </w:tc>
        <w:tc>
          <w:tcPr>
            <w:tcW w:w="1804" w:type="dxa"/>
          </w:tcPr>
          <w:p w14:paraId="61B7F2FE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Student demonstrates little ability to interpret evidence, arguments, or alternative points of view and little or no ability to solve problems.</w:t>
            </w:r>
          </w:p>
        </w:tc>
        <w:tc>
          <w:tcPr>
            <w:tcW w:w="1791" w:type="dxa"/>
          </w:tcPr>
          <w:p w14:paraId="68F1F694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Student demonstrates no ability to interpret evidence, arguments, or alternative points of view, nor any ability to solve problems.</w:t>
            </w:r>
          </w:p>
        </w:tc>
      </w:tr>
      <w:tr w:rsidR="00683684" w14:paraId="0467DDDF" w14:textId="77777777" w:rsidTr="00683684">
        <w:tc>
          <w:tcPr>
            <w:tcW w:w="1785" w:type="dxa"/>
          </w:tcPr>
          <w:p w14:paraId="3E76C659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Connections</w:t>
            </w:r>
          </w:p>
        </w:tc>
        <w:tc>
          <w:tcPr>
            <w:tcW w:w="1788" w:type="dxa"/>
          </w:tcPr>
          <w:p w14:paraId="6DA42570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Student provides meaningful and relevant connections between content knowledge or research and the argument or problem.</w:t>
            </w:r>
          </w:p>
        </w:tc>
        <w:tc>
          <w:tcPr>
            <w:tcW w:w="1788" w:type="dxa"/>
          </w:tcPr>
          <w:p w14:paraId="4D3D231C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Student provides relevant connections between content knowledge or research and the argument or problem.</w:t>
            </w:r>
          </w:p>
        </w:tc>
        <w:tc>
          <w:tcPr>
            <w:tcW w:w="1721" w:type="dxa"/>
          </w:tcPr>
          <w:p w14:paraId="3D78D8E4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Student provides sufficient connections between content knowledge or research and the argument or problem.</w:t>
            </w:r>
          </w:p>
        </w:tc>
        <w:tc>
          <w:tcPr>
            <w:tcW w:w="1804" w:type="dxa"/>
          </w:tcPr>
          <w:p w14:paraId="602575FF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Student provides a weak connection between content knowledge or research and the argument or problem.</w:t>
            </w:r>
          </w:p>
        </w:tc>
        <w:tc>
          <w:tcPr>
            <w:tcW w:w="1791" w:type="dxa"/>
          </w:tcPr>
          <w:p w14:paraId="182CA94E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Student provides no connection between content knowledge or research and the argument or problem.</w:t>
            </w:r>
          </w:p>
        </w:tc>
      </w:tr>
      <w:tr w:rsidR="00683684" w14:paraId="59A0A602" w14:textId="77777777" w:rsidTr="00683684">
        <w:tc>
          <w:tcPr>
            <w:tcW w:w="1785" w:type="dxa"/>
          </w:tcPr>
          <w:p w14:paraId="1FB760E5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Response</w:t>
            </w:r>
          </w:p>
        </w:tc>
        <w:tc>
          <w:tcPr>
            <w:tcW w:w="1788" w:type="dxa"/>
          </w:tcPr>
          <w:p w14:paraId="590D0376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The student response exhibits unique personal connections to the ethical dilemma and a comprehensive understanding of the consequences of choices or actions.</w:t>
            </w:r>
          </w:p>
        </w:tc>
        <w:tc>
          <w:tcPr>
            <w:tcW w:w="1788" w:type="dxa"/>
          </w:tcPr>
          <w:p w14:paraId="634AB0A3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The student response exhibits personal connections to the ethical dilemma and a strong understanding of the consequences of choices or actions.</w:t>
            </w:r>
          </w:p>
        </w:tc>
        <w:tc>
          <w:tcPr>
            <w:tcW w:w="1721" w:type="dxa"/>
          </w:tcPr>
          <w:p w14:paraId="43675733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Student response exhibits a personal connection to the ethical dilemma and some understanding of the consequences of choices or actions.</w:t>
            </w:r>
          </w:p>
        </w:tc>
        <w:tc>
          <w:tcPr>
            <w:tcW w:w="1804" w:type="dxa"/>
          </w:tcPr>
          <w:p w14:paraId="6E890E46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Student response exhibits a weak personal connection to the ethical dilemma and little or no understanding of the consequences of choices or actions.</w:t>
            </w:r>
          </w:p>
        </w:tc>
        <w:tc>
          <w:tcPr>
            <w:tcW w:w="1791" w:type="dxa"/>
          </w:tcPr>
          <w:p w14:paraId="1AF58FF7" w14:textId="77777777" w:rsidR="00683684" w:rsidRPr="009B498C" w:rsidRDefault="00683684" w:rsidP="00683684">
            <w:pPr>
              <w:rPr>
                <w:rFonts w:ascii="Arial" w:hAnsi="Arial" w:cs="Arial"/>
                <w:sz w:val="18"/>
                <w:szCs w:val="18"/>
              </w:rPr>
            </w:pPr>
            <w:r w:rsidRPr="009B498C">
              <w:rPr>
                <w:rFonts w:ascii="Arial" w:hAnsi="Arial" w:cs="Arial"/>
                <w:sz w:val="18"/>
                <w:szCs w:val="18"/>
              </w:rPr>
              <w:t>Student response exhibits no personal connection to the ethical dilemma or understanding of the consequences of choices or actions.</w:t>
            </w:r>
          </w:p>
        </w:tc>
      </w:tr>
    </w:tbl>
    <w:p w14:paraId="66A92FE8" w14:textId="77777777" w:rsidR="00417EC6" w:rsidRDefault="00417EC6" w:rsidP="00417EC6">
      <w:pPr>
        <w:rPr>
          <w:rFonts w:ascii="Arial" w:hAnsi="Arial" w:cs="Arial"/>
          <w:b/>
          <w:sz w:val="16"/>
          <w:szCs w:val="16"/>
        </w:rPr>
      </w:pPr>
    </w:p>
    <w:p w14:paraId="22A1E7F5" w14:textId="77777777" w:rsidR="00B43050" w:rsidRDefault="00683684"/>
    <w:sectPr w:rsidR="00B43050" w:rsidSect="00683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C6"/>
    <w:rsid w:val="000A7B33"/>
    <w:rsid w:val="00273ABE"/>
    <w:rsid w:val="002943B9"/>
    <w:rsid w:val="00295E50"/>
    <w:rsid w:val="002D2B8E"/>
    <w:rsid w:val="002E1136"/>
    <w:rsid w:val="00417EC6"/>
    <w:rsid w:val="00647323"/>
    <w:rsid w:val="00683684"/>
    <w:rsid w:val="007C6F7A"/>
    <w:rsid w:val="008772F5"/>
    <w:rsid w:val="00977722"/>
    <w:rsid w:val="009B498C"/>
    <w:rsid w:val="009E0402"/>
    <w:rsid w:val="00AF25EE"/>
    <w:rsid w:val="00CF1578"/>
    <w:rsid w:val="00E22421"/>
    <w:rsid w:val="00E65048"/>
    <w:rsid w:val="00EC3F2A"/>
    <w:rsid w:val="00ED3AA6"/>
    <w:rsid w:val="00F771BB"/>
    <w:rsid w:val="00FB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2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EC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EC6"/>
    <w:pPr>
      <w:spacing w:before="100" w:beforeAutospacing="1" w:after="100" w:afterAutospacing="1"/>
      <w:jc w:val="both"/>
    </w:pPr>
  </w:style>
  <w:style w:type="table" w:styleId="TableGrid">
    <w:name w:val="Table Grid"/>
    <w:basedOn w:val="TableNormal"/>
    <w:uiPriority w:val="59"/>
    <w:rsid w:val="00417EC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Tina M. Babb</cp:lastModifiedBy>
  <cp:revision>13</cp:revision>
  <cp:lastPrinted>2017-06-29T15:03:00Z</cp:lastPrinted>
  <dcterms:created xsi:type="dcterms:W3CDTF">2017-06-29T14:03:00Z</dcterms:created>
  <dcterms:modified xsi:type="dcterms:W3CDTF">2017-07-06T19:47:00Z</dcterms:modified>
</cp:coreProperties>
</file>