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4E" w:rsidRDefault="00B14B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7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7"/>
        <w:gridCol w:w="7193"/>
      </w:tblGrid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Division: 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Liberal Arts</w:t>
            </w:r>
          </w:p>
        </w:tc>
      </w:tr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Degree/Academic Program(s): 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(GENS.EDUC.AS and EDUC.AAT)</w:t>
            </w:r>
          </w:p>
        </w:tc>
      </w:tr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Dean: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Crandall</w:t>
            </w:r>
          </w:p>
        </w:tc>
      </w:tr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Chair/Director/Coordinator: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Rochelle </w:t>
            </w:r>
            <w:proofErr w:type="spellStart"/>
            <w:r>
              <w:rPr>
                <w:sz w:val="24"/>
                <w:szCs w:val="24"/>
              </w:rPr>
              <w:t>Fouts</w:t>
            </w:r>
            <w:proofErr w:type="spellEnd"/>
          </w:p>
        </w:tc>
      </w:tr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Submission Date: 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4, 2026</w:t>
            </w:r>
            <w:bookmarkStart w:id="0" w:name="_GoBack"/>
            <w:bookmarkEnd w:id="0"/>
          </w:p>
        </w:tc>
      </w:tr>
      <w:tr w:rsidR="00B14B4E">
        <w:tc>
          <w:tcPr>
            <w:tcW w:w="3597" w:type="dxa"/>
            <w:vAlign w:val="center"/>
          </w:tcPr>
          <w:p w:rsidR="00B14B4E" w:rsidRDefault="006B11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Purpose Statement: </w:t>
            </w:r>
          </w:p>
        </w:tc>
        <w:tc>
          <w:tcPr>
            <w:tcW w:w="7193" w:type="dxa"/>
            <w:vAlign w:val="center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purpose of the education department is to provide content and experiences directly aligned with the expectations of future Texas teachers.</w:t>
            </w:r>
          </w:p>
        </w:tc>
      </w:tr>
    </w:tbl>
    <w:p w:rsidR="00B14B4E" w:rsidRDefault="00B14B4E">
      <w:pPr>
        <w:pBdr>
          <w:bottom w:val="single" w:sz="12" w:space="1" w:color="000000"/>
        </w:pBdr>
        <w:rPr>
          <w:sz w:val="24"/>
          <w:szCs w:val="24"/>
        </w:rPr>
      </w:pPr>
      <w:bookmarkStart w:id="1" w:name="_heading=h.gjdgxs" w:colFirst="0" w:colLast="0"/>
      <w:bookmarkEnd w:id="1"/>
    </w:p>
    <w:p w:rsidR="00B14B4E" w:rsidRDefault="00B14B4E">
      <w:pPr>
        <w:tabs>
          <w:tab w:val="left" w:pos="1425"/>
        </w:tabs>
        <w:spacing w:after="0"/>
        <w:rPr>
          <w:b/>
          <w:sz w:val="24"/>
          <w:szCs w:val="24"/>
        </w:rPr>
      </w:pPr>
    </w:p>
    <w:p w:rsidR="00B14B4E" w:rsidRDefault="00B14B4E">
      <w:pPr>
        <w:tabs>
          <w:tab w:val="left" w:pos="1425"/>
        </w:tabs>
        <w:spacing w:after="0"/>
        <w:rPr>
          <w:b/>
          <w:sz w:val="24"/>
          <w:szCs w:val="24"/>
        </w:rPr>
      </w:pPr>
    </w:p>
    <w:tbl>
      <w:tblPr>
        <w:tblStyle w:val="a2"/>
        <w:tblW w:w="108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3525"/>
        <w:gridCol w:w="2640"/>
        <w:gridCol w:w="3060"/>
      </w:tblGrid>
      <w:tr w:rsidR="00B14B4E">
        <w:trPr>
          <w:trHeight w:val="737"/>
        </w:trPr>
        <w:tc>
          <w:tcPr>
            <w:tcW w:w="10800" w:type="dxa"/>
            <w:gridSpan w:val="4"/>
          </w:tcPr>
          <w:p w:rsidR="00B14B4E" w:rsidRDefault="006B11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Goal #1: </w:t>
            </w:r>
            <w:r>
              <w:rPr>
                <w:sz w:val="24"/>
                <w:szCs w:val="24"/>
              </w:rPr>
              <w:t xml:space="preserve">To graduate students who articulate in writing a personal commitment to working in the Texas school </w:t>
            </w:r>
            <w:r>
              <w:rPr>
                <w:sz w:val="24"/>
                <w:szCs w:val="24"/>
              </w:rPr>
              <w:t>system and have experience in the workplace that promotes analysis and evaluation of the skills needed to impact the success of children in public schools.</w:t>
            </w:r>
          </w:p>
        </w:tc>
      </w:tr>
      <w:tr w:rsidR="00B14B4E">
        <w:trPr>
          <w:trHeight w:val="2051"/>
        </w:trPr>
        <w:tc>
          <w:tcPr>
            <w:tcW w:w="1575" w:type="dxa"/>
            <w:shd w:val="clear" w:color="auto" w:fill="D9D9D9"/>
            <w:vAlign w:val="bottom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Specific Courses</w:t>
            </w:r>
          </w:p>
        </w:tc>
        <w:tc>
          <w:tcPr>
            <w:tcW w:w="3525" w:type="dxa"/>
            <w:shd w:val="clear" w:color="auto" w:fill="D9D9D9"/>
          </w:tcPr>
          <w:p w:rsidR="00B14B4E" w:rsidRDefault="006B1155">
            <w:pPr>
              <w:tabs>
                <w:tab w:val="left" w:pos="142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PSLO #1:  </w:t>
            </w:r>
            <w:r>
              <w:rPr>
                <w:sz w:val="24"/>
                <w:szCs w:val="24"/>
              </w:rPr>
              <w:t>The student will summarize the PPR (Pedagogy and Professional Responsibilities) competencies required for the state certification exam observed during the classroom experience and can consistently demonstrate grammatical accuracy.</w:t>
            </w:r>
          </w:p>
        </w:tc>
        <w:tc>
          <w:tcPr>
            <w:tcW w:w="2640" w:type="dxa"/>
            <w:shd w:val="clear" w:color="auto" w:fill="D9D9D9"/>
          </w:tcPr>
          <w:p w:rsidR="00B14B4E" w:rsidRDefault="006B1155">
            <w:pPr>
              <w:tabs>
                <w:tab w:val="left" w:pos="142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PSLO #2: </w:t>
            </w:r>
            <w:r>
              <w:rPr>
                <w:sz w:val="24"/>
                <w:szCs w:val="24"/>
              </w:rPr>
              <w:t>The student will</w:t>
            </w:r>
            <w:r>
              <w:rPr>
                <w:sz w:val="24"/>
                <w:szCs w:val="24"/>
              </w:rPr>
              <w:t xml:space="preserve"> identify examples of different teaching strategies using Bloom’s Taxonomy followed during the classroom experience.</w:t>
            </w:r>
          </w:p>
        </w:tc>
        <w:tc>
          <w:tcPr>
            <w:tcW w:w="3060" w:type="dxa"/>
            <w:shd w:val="clear" w:color="auto" w:fill="D9D9D9"/>
          </w:tcPr>
          <w:p w:rsidR="00B14B4E" w:rsidRDefault="006B1155">
            <w:pPr>
              <w:tabs>
                <w:tab w:val="left" w:pos="142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PSLO #3:</w:t>
            </w:r>
            <w:r>
              <w:rPr>
                <w:sz w:val="24"/>
                <w:szCs w:val="24"/>
              </w:rPr>
              <w:t xml:space="preserve">  The student will effectively communicate their interest and commitment to the teaching profession</w:t>
            </w:r>
            <w:r>
              <w:rPr>
                <w:sz w:val="24"/>
                <w:szCs w:val="24"/>
              </w:rPr>
              <w:t>.</w:t>
            </w:r>
          </w:p>
        </w:tc>
      </w:tr>
      <w:tr w:rsidR="00B14B4E">
        <w:trPr>
          <w:trHeight w:val="539"/>
        </w:trPr>
        <w:tc>
          <w:tcPr>
            <w:tcW w:w="1575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 1301</w:t>
            </w:r>
          </w:p>
        </w:tc>
        <w:tc>
          <w:tcPr>
            <w:tcW w:w="3525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640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060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I, D</w:t>
            </w:r>
          </w:p>
        </w:tc>
      </w:tr>
      <w:tr w:rsidR="00B14B4E">
        <w:trPr>
          <w:trHeight w:val="620"/>
        </w:trPr>
        <w:tc>
          <w:tcPr>
            <w:tcW w:w="1575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 2301</w:t>
            </w:r>
          </w:p>
        </w:tc>
        <w:tc>
          <w:tcPr>
            <w:tcW w:w="3525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640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060" w:type="dxa"/>
            <w:vAlign w:val="center"/>
          </w:tcPr>
          <w:p w:rsidR="00B14B4E" w:rsidRDefault="006B1155">
            <w:pPr>
              <w:tabs>
                <w:tab w:val="left" w:pos="14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</w:tbl>
    <w:p w:rsidR="00B14B4E" w:rsidRDefault="006B1155">
      <w:pPr>
        <w:tabs>
          <w:tab w:val="left" w:pos="142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= Introduced; D = Developed &amp; Practiced with Feedback; M = Demonstrated at Mastery</w:t>
      </w:r>
    </w:p>
    <w:p w:rsidR="00B14B4E" w:rsidRDefault="00B14B4E">
      <w:pPr>
        <w:tabs>
          <w:tab w:val="left" w:pos="1425"/>
        </w:tabs>
        <w:rPr>
          <w:color w:val="FF0000"/>
          <w:sz w:val="24"/>
          <w:szCs w:val="24"/>
        </w:rPr>
      </w:pPr>
    </w:p>
    <w:sectPr w:rsidR="00B14B4E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1155">
      <w:pPr>
        <w:spacing w:after="0" w:line="240" w:lineRule="auto"/>
      </w:pPr>
      <w:r>
        <w:separator/>
      </w:r>
    </w:p>
  </w:endnote>
  <w:endnote w:type="continuationSeparator" w:id="0">
    <w:p w:rsidR="00000000" w:rsidRDefault="006B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1155">
      <w:pPr>
        <w:spacing w:after="0" w:line="240" w:lineRule="auto"/>
      </w:pPr>
      <w:r>
        <w:separator/>
      </w:r>
    </w:p>
  </w:footnote>
  <w:footnote w:type="continuationSeparator" w:id="0">
    <w:p w:rsidR="00000000" w:rsidRDefault="006B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B4E" w:rsidRDefault="006B1155">
    <w:pPr>
      <w:jc w:val="center"/>
      <w:rPr>
        <w:b/>
        <w:sz w:val="32"/>
        <w:szCs w:val="32"/>
      </w:rPr>
    </w:pPr>
    <w:r>
      <w:rPr>
        <w:b/>
        <w:sz w:val="32"/>
        <w:szCs w:val="32"/>
      </w:rPr>
      <w:t>Amarillo College Curriculum Map for the Education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4E"/>
    <w:rsid w:val="006B1155"/>
    <w:rsid w:val="00B1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0E59"/>
  <w15:docId w15:val="{A3A85E32-93C0-41EB-8170-C89E04ED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5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5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16"/>
  </w:style>
  <w:style w:type="paragraph" w:styleId="Footer">
    <w:name w:val="footer"/>
    <w:basedOn w:val="Normal"/>
    <w:link w:val="FooterChar"/>
    <w:uiPriority w:val="99"/>
    <w:unhideWhenUsed/>
    <w:rsid w:val="00C3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16"/>
  </w:style>
  <w:style w:type="paragraph" w:styleId="ListParagraph">
    <w:name w:val="List Paragraph"/>
    <w:basedOn w:val="Normal"/>
    <w:uiPriority w:val="34"/>
    <w:qFormat/>
    <w:rsid w:val="00796B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BLPz0sGGYUenvA12YVtH72eqA==">CgMxLjAyCGguZ2pkZ3hzOAByITFHOUoyQ25lOS0tLU1nWktBa1oycDhnQ20xYjV5dVRnNw==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Elisa R. Alvarado</cp:lastModifiedBy>
  <cp:revision>2</cp:revision>
  <dcterms:created xsi:type="dcterms:W3CDTF">2022-03-23T18:12:00Z</dcterms:created>
  <dcterms:modified xsi:type="dcterms:W3CDTF">2026-03-04T16:57:00Z</dcterms:modified>
</cp:coreProperties>
</file>