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04" w:rsidRPr="00922704" w:rsidRDefault="00922704" w:rsidP="00922704">
      <w:pPr>
        <w:pStyle w:val="p10"/>
        <w:jc w:val="center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</w:rPr>
        <w:t>Vetting the Mission</w:t>
      </w:r>
    </w:p>
    <w:p w:rsidR="00922704" w:rsidRDefault="00922704" w:rsidP="00CE0D11">
      <w:pPr>
        <w:pStyle w:val="p10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CE0D11" w:rsidRDefault="00CE0D11" w:rsidP="00CE0D11">
      <w:pPr>
        <w:pStyle w:val="p10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MISSION</w:t>
      </w:r>
    </w:p>
    <w:p w:rsidR="00CE0D11" w:rsidRDefault="00922704" w:rsidP="00CE0D11">
      <w:pPr>
        <w:pStyle w:val="p10"/>
        <w:rPr>
          <w:rFonts w:ascii="Arial" w:hAnsi="Arial" w:cs="Arial"/>
          <w:bCs/>
          <w:i/>
          <w:iCs/>
        </w:rPr>
      </w:pPr>
      <w:proofErr w:type="gramStart"/>
      <w:r>
        <w:rPr>
          <w:rFonts w:ascii="Arial" w:hAnsi="Arial" w:cs="Arial"/>
          <w:bCs/>
          <w:i/>
          <w:iCs/>
        </w:rPr>
        <w:t xml:space="preserve">Amarillo College </w:t>
      </w:r>
      <w:r w:rsidR="00CE0D11">
        <w:rPr>
          <w:rFonts w:ascii="Arial" w:hAnsi="Arial" w:cs="Arial"/>
          <w:bCs/>
          <w:i/>
          <w:iCs/>
        </w:rPr>
        <w:t>– enriching the lives of our students and our community.</w:t>
      </w:r>
      <w:proofErr w:type="gramEnd"/>
    </w:p>
    <w:p w:rsidR="00CE0D11" w:rsidRPr="0042188F" w:rsidRDefault="00CE0D11" w:rsidP="00CE0D11">
      <w:pPr>
        <w:pStyle w:val="p10"/>
        <w:rPr>
          <w:rFonts w:ascii="Arial" w:hAnsi="Arial" w:cs="Arial"/>
          <w:bCs/>
          <w:i/>
          <w:iCs/>
        </w:rPr>
      </w:pPr>
    </w:p>
    <w:p w:rsidR="00CE0D11" w:rsidRDefault="00CE0D11" w:rsidP="00CE0D11">
      <w:pPr>
        <w:pStyle w:val="p4"/>
      </w:pPr>
      <w:r w:rsidRPr="00074D0F">
        <w:rPr>
          <w:rFonts w:ascii="Arial" w:hAnsi="Arial" w:cs="Arial"/>
          <w:b/>
          <w:bCs/>
          <w:sz w:val="28"/>
          <w:szCs w:val="28"/>
        </w:rPr>
        <w:t>Definition:</w:t>
      </w:r>
      <w:r w:rsidRPr="00074D0F">
        <w:rPr>
          <w:rFonts w:ascii="Arial" w:hAnsi="Arial" w:cs="Arial"/>
          <w:b/>
          <w:bCs/>
          <w:sz w:val="28"/>
          <w:szCs w:val="28"/>
        </w:rPr>
        <w:tab/>
        <w:t xml:space="preserve"> </w:t>
      </w:r>
      <w:r w:rsidRPr="00074D0F">
        <w:t>A s</w:t>
      </w:r>
      <w:r>
        <w:t>entence s</w:t>
      </w:r>
      <w:r w:rsidRPr="00074D0F">
        <w:t>tat</w:t>
      </w:r>
      <w:r>
        <w:t>ing the</w:t>
      </w:r>
      <w:r w:rsidRPr="00074D0F">
        <w:t xml:space="preserve"> complementary purposes and characteristics that distinguishes the college from others. It gives specific direction and priorities for goal formation.</w:t>
      </w:r>
    </w:p>
    <w:p w:rsidR="00CE0D11" w:rsidRPr="005F382C" w:rsidRDefault="00CE0D11" w:rsidP="00CE0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SACS-COC </w:t>
      </w:r>
      <w:r w:rsidRPr="00971930">
        <w:rPr>
          <w:rFonts w:ascii="Times New Roman" w:eastAsia="Times New Roman" w:hAnsi="Times New Roman" w:cs="Times New Roman"/>
          <w:b/>
          <w:bCs/>
        </w:rPr>
        <w:t>Core Requirement</w:t>
      </w:r>
      <w:r w:rsidRPr="005F382C">
        <w:rPr>
          <w:rFonts w:ascii="Times New Roman" w:hAnsi="Times New Roman" w:cs="Times New Roman"/>
          <w:b/>
          <w:bCs/>
        </w:rPr>
        <w:t xml:space="preserve"> </w:t>
      </w:r>
      <w:r w:rsidRPr="005F382C">
        <w:rPr>
          <w:rFonts w:ascii="Times New Roman" w:hAnsi="Times New Roman" w:cs="Times New Roman"/>
          <w:b/>
        </w:rPr>
        <w:t>2.4</w:t>
      </w:r>
      <w:r>
        <w:rPr>
          <w:rFonts w:ascii="Times New Roman" w:hAnsi="Times New Roman" w:cs="Times New Roman"/>
        </w:rPr>
        <w:t>:</w:t>
      </w:r>
      <w:r w:rsidRPr="005F382C">
        <w:rPr>
          <w:rFonts w:ascii="Times New Roman" w:hAnsi="Times New Roman" w:cs="Times New Roman"/>
        </w:rPr>
        <w:t xml:space="preserve"> The institution has a clearly defined, comprehensive, and published</w:t>
      </w:r>
      <w:r>
        <w:rPr>
          <w:rFonts w:ascii="Times New Roman" w:hAnsi="Times New Roman" w:cs="Times New Roman"/>
        </w:rPr>
        <w:t xml:space="preserve"> </w:t>
      </w:r>
      <w:r w:rsidRPr="005F382C">
        <w:rPr>
          <w:rFonts w:ascii="Times New Roman" w:hAnsi="Times New Roman" w:cs="Times New Roman"/>
        </w:rPr>
        <w:t>mission statement that is specific to the institution and appropriate</w:t>
      </w:r>
      <w:r>
        <w:rPr>
          <w:rFonts w:ascii="Times New Roman" w:hAnsi="Times New Roman" w:cs="Times New Roman"/>
        </w:rPr>
        <w:t xml:space="preserve"> </w:t>
      </w:r>
      <w:r w:rsidRPr="005F382C">
        <w:rPr>
          <w:rFonts w:ascii="Times New Roman" w:hAnsi="Times New Roman" w:cs="Times New Roman"/>
        </w:rPr>
        <w:t xml:space="preserve">for higher education. </w:t>
      </w:r>
      <w:proofErr w:type="gramStart"/>
      <w:r w:rsidRPr="005F382C">
        <w:rPr>
          <w:rFonts w:ascii="Times New Roman" w:hAnsi="Times New Roman" w:cs="Times New Roman"/>
        </w:rPr>
        <w:t>The mission addresses teaching and learning</w:t>
      </w:r>
      <w:r>
        <w:rPr>
          <w:rFonts w:ascii="Times New Roman" w:hAnsi="Times New Roman" w:cs="Times New Roman"/>
        </w:rPr>
        <w:t xml:space="preserve"> </w:t>
      </w:r>
      <w:r w:rsidRPr="005F382C">
        <w:rPr>
          <w:rFonts w:ascii="Times New Roman" w:hAnsi="Times New Roman" w:cs="Times New Roman"/>
        </w:rPr>
        <w:t>and, where applicable, research and public service.</w:t>
      </w:r>
      <w:proofErr w:type="gramEnd"/>
      <w:r w:rsidRPr="005F382C">
        <w:rPr>
          <w:rFonts w:ascii="Times New Roman" w:hAnsi="Times New Roman" w:cs="Times New Roman"/>
        </w:rPr>
        <w:t xml:space="preserve"> </w:t>
      </w:r>
      <w:r w:rsidRPr="005F382C">
        <w:rPr>
          <w:rFonts w:ascii="Times New Roman" w:hAnsi="Times New Roman" w:cs="Times New Roman"/>
          <w:b/>
        </w:rPr>
        <w:t>(Institutional</w:t>
      </w:r>
    </w:p>
    <w:p w:rsidR="00CE0D11" w:rsidRDefault="00CE0D11" w:rsidP="00CE0D11">
      <w:pPr>
        <w:pStyle w:val="p4"/>
        <w:rPr>
          <w:b/>
          <w:sz w:val="22"/>
          <w:szCs w:val="22"/>
        </w:rPr>
      </w:pPr>
      <w:r w:rsidRPr="005F382C">
        <w:rPr>
          <w:b/>
          <w:sz w:val="22"/>
          <w:szCs w:val="22"/>
        </w:rPr>
        <w:t>Mission)</w:t>
      </w:r>
    </w:p>
    <w:p w:rsidR="00CE0D11" w:rsidRDefault="00CE0D11" w:rsidP="00CE0D11">
      <w:pPr>
        <w:pStyle w:val="p4"/>
        <w:rPr>
          <w:b/>
          <w:sz w:val="22"/>
          <w:szCs w:val="22"/>
        </w:rPr>
      </w:pPr>
    </w:p>
    <w:p w:rsidR="00CE0D11" w:rsidRPr="00971930" w:rsidRDefault="00CE0D11" w:rsidP="00CE0D11">
      <w:pPr>
        <w:pStyle w:val="p4"/>
        <w:rPr>
          <w:b/>
          <w:bCs/>
        </w:rPr>
      </w:pPr>
      <w:r w:rsidRPr="00971930">
        <w:rPr>
          <w:b/>
          <w:bCs/>
        </w:rPr>
        <w:t xml:space="preserve">SACSCOC Comprehensive Standard 3.1: </w:t>
      </w:r>
      <w:r w:rsidRPr="00971930">
        <w:rPr>
          <w:bCs/>
        </w:rPr>
        <w:t xml:space="preserve">The mission statement is current and comprehensive, accurately guides the institution’s operations, is periodically reviewed and updated, is approved the governing board, and is communicated to the institution’s constituencies. </w:t>
      </w:r>
      <w:r w:rsidRPr="00971930">
        <w:rPr>
          <w:b/>
          <w:bCs/>
        </w:rPr>
        <w:t xml:space="preserve">(Institutional Mission) </w:t>
      </w:r>
    </w:p>
    <w:p w:rsidR="00CE0D11" w:rsidRPr="005F382C" w:rsidRDefault="00CE0D11" w:rsidP="00CE0D11">
      <w:pPr>
        <w:pStyle w:val="p4"/>
        <w:rPr>
          <w:b/>
          <w:bCs/>
          <w:sz w:val="22"/>
          <w:szCs w:val="22"/>
        </w:rPr>
      </w:pPr>
    </w:p>
    <w:p w:rsidR="00CE0D11" w:rsidRDefault="00CE0D11" w:rsidP="00CE0D11">
      <w:pPr>
        <w:pStyle w:val="p4"/>
        <w:rPr>
          <w:b/>
          <w:bCs/>
          <w:sz w:val="22"/>
          <w:szCs w:val="22"/>
        </w:rPr>
      </w:pPr>
    </w:p>
    <w:p w:rsidR="00CE0D11" w:rsidRPr="006B5578" w:rsidRDefault="00CE0D11" w:rsidP="00CE0D11">
      <w:pPr>
        <w:pStyle w:val="p4"/>
        <w:rPr>
          <w:rFonts w:ascii="Arial" w:hAnsi="Arial" w:cs="Arial"/>
          <w:b/>
          <w:bCs/>
          <w:sz w:val="28"/>
          <w:szCs w:val="28"/>
        </w:rPr>
      </w:pPr>
      <w:r w:rsidRPr="006B5578">
        <w:rPr>
          <w:rFonts w:ascii="Arial" w:hAnsi="Arial" w:cs="Arial"/>
          <w:b/>
          <w:bCs/>
          <w:sz w:val="28"/>
          <w:szCs w:val="28"/>
        </w:rPr>
        <w:t xml:space="preserve">Ensuring Fulfillment of SACS-COC Requirements: </w:t>
      </w:r>
    </w:p>
    <w:p w:rsidR="00CE0D11" w:rsidRPr="005F382C" w:rsidRDefault="00CE0D11" w:rsidP="00CE0D11">
      <w:pPr>
        <w:pStyle w:val="p4"/>
        <w:numPr>
          <w:ilvl w:val="0"/>
          <w:numId w:val="1"/>
        </w:numPr>
        <w:rPr>
          <w:bCs/>
          <w:sz w:val="22"/>
          <w:szCs w:val="22"/>
        </w:rPr>
      </w:pPr>
      <w:r w:rsidRPr="005F382C">
        <w:rPr>
          <w:bCs/>
          <w:sz w:val="22"/>
          <w:szCs w:val="22"/>
        </w:rPr>
        <w:t xml:space="preserve">Must include EVERYTHING </w:t>
      </w:r>
      <w:r>
        <w:rPr>
          <w:bCs/>
          <w:sz w:val="22"/>
          <w:szCs w:val="22"/>
        </w:rPr>
        <w:t xml:space="preserve">(e.g. instruction and public service) </w:t>
      </w:r>
      <w:r w:rsidRPr="005F382C">
        <w:rPr>
          <w:bCs/>
          <w:sz w:val="22"/>
          <w:szCs w:val="22"/>
        </w:rPr>
        <w:t>Amarillo College is doing to serve all of its stakeholders (i.e. students, community, employees, Board of Regents, etc.)</w:t>
      </w:r>
    </w:p>
    <w:p w:rsidR="00CE0D11" w:rsidRPr="005F382C" w:rsidRDefault="00CE0D11" w:rsidP="00CE0D11">
      <w:pPr>
        <w:pStyle w:val="p4"/>
        <w:numPr>
          <w:ilvl w:val="0"/>
          <w:numId w:val="1"/>
        </w:numPr>
        <w:rPr>
          <w:bCs/>
          <w:sz w:val="22"/>
          <w:szCs w:val="22"/>
        </w:rPr>
      </w:pPr>
      <w:r w:rsidRPr="005F382C">
        <w:rPr>
          <w:bCs/>
          <w:sz w:val="22"/>
          <w:szCs w:val="22"/>
        </w:rPr>
        <w:t>When revising AC’s mi</w:t>
      </w:r>
      <w:r>
        <w:rPr>
          <w:bCs/>
          <w:sz w:val="22"/>
          <w:szCs w:val="22"/>
        </w:rPr>
        <w:t xml:space="preserve">ssion, be sure it reflects the </w:t>
      </w:r>
      <w:r w:rsidRPr="005F382C">
        <w:rPr>
          <w:bCs/>
          <w:sz w:val="22"/>
          <w:szCs w:val="22"/>
        </w:rPr>
        <w:t>current economic downturn and budget limitations.</w:t>
      </w:r>
    </w:p>
    <w:p w:rsidR="00CE0D11" w:rsidRPr="005F382C" w:rsidRDefault="00CE0D11" w:rsidP="00CE0D11">
      <w:pPr>
        <w:pStyle w:val="p4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Results from effectiveness indicators </w:t>
      </w:r>
      <w:r w:rsidRPr="005F382C">
        <w:rPr>
          <w:bCs/>
          <w:sz w:val="22"/>
          <w:szCs w:val="22"/>
        </w:rPr>
        <w:t>for the mission must be produced regularly, reported publicly, and used systematically in decision-making</w:t>
      </w:r>
    </w:p>
    <w:p w:rsidR="00387D7B" w:rsidRDefault="00387D7B"/>
    <w:p w:rsidR="00922704" w:rsidRPr="007C1A85" w:rsidRDefault="00922704">
      <w:pPr>
        <w:rPr>
          <w:rFonts w:ascii="Arial" w:hAnsi="Arial" w:cs="Arial"/>
          <w:b/>
          <w:sz w:val="24"/>
          <w:szCs w:val="24"/>
        </w:rPr>
      </w:pPr>
      <w:r w:rsidRPr="007C1A85">
        <w:rPr>
          <w:rFonts w:ascii="Arial" w:hAnsi="Arial" w:cs="Arial"/>
          <w:b/>
          <w:sz w:val="28"/>
          <w:szCs w:val="28"/>
        </w:rPr>
        <w:t>Proposed Effectiveness Indicators from Strategic Plan Writing Team</w:t>
      </w:r>
      <w:r w:rsidR="007C1A85" w:rsidRPr="007C1A85">
        <w:rPr>
          <w:rFonts w:ascii="Arial" w:hAnsi="Arial" w:cs="Arial"/>
          <w:b/>
          <w:sz w:val="28"/>
          <w:szCs w:val="28"/>
        </w:rPr>
        <w:t>:</w:t>
      </w:r>
      <w:r w:rsidRPr="007C1A85">
        <w:rPr>
          <w:rFonts w:ascii="Arial" w:hAnsi="Arial" w:cs="Arial"/>
          <w:b/>
          <w:sz w:val="28"/>
          <w:szCs w:val="28"/>
        </w:rPr>
        <w:t xml:space="preserve"> </w:t>
      </w:r>
      <w:r w:rsidRPr="007C1A85">
        <w:rPr>
          <w:rFonts w:ascii="Arial" w:hAnsi="Arial" w:cs="Arial"/>
          <w:b/>
          <w:sz w:val="24"/>
          <w:szCs w:val="24"/>
        </w:rPr>
        <w:t>(3/12/10)</w:t>
      </w:r>
    </w:p>
    <w:p w:rsidR="00245D93" w:rsidRDefault="00245D93">
      <w:pPr>
        <w:rPr>
          <w:sz w:val="24"/>
          <w:szCs w:val="24"/>
        </w:rPr>
      </w:pPr>
      <w:r>
        <w:rPr>
          <w:sz w:val="24"/>
          <w:szCs w:val="24"/>
        </w:rPr>
        <w:t xml:space="preserve">Definitions for “enriching “: </w:t>
      </w:r>
    </w:p>
    <w:p w:rsidR="004408B4" w:rsidRDefault="004408B4" w:rsidP="004408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408B4">
        <w:rPr>
          <w:rFonts w:ascii="Arial" w:hAnsi="Arial" w:cs="Arial"/>
        </w:rPr>
        <w:t xml:space="preserve">act of making more meaningful, </w:t>
      </w:r>
    </w:p>
    <w:p w:rsidR="004408B4" w:rsidRDefault="004408B4" w:rsidP="004408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408B4">
        <w:rPr>
          <w:rFonts w:ascii="Arial" w:hAnsi="Arial" w:cs="Arial"/>
        </w:rPr>
        <w:t>add</w:t>
      </w:r>
      <w:r>
        <w:rPr>
          <w:rFonts w:ascii="Arial" w:hAnsi="Arial" w:cs="Arial"/>
        </w:rPr>
        <w:t>ing</w:t>
      </w:r>
      <w:r w:rsidRPr="004408B4">
        <w:rPr>
          <w:rFonts w:ascii="Arial" w:hAnsi="Arial" w:cs="Arial"/>
        </w:rPr>
        <w:t xml:space="preserve"> value, </w:t>
      </w:r>
    </w:p>
    <w:p w:rsidR="004408B4" w:rsidRPr="004408B4" w:rsidRDefault="004408B4" w:rsidP="004408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08B4">
        <w:rPr>
          <w:rFonts w:ascii="Arial" w:hAnsi="Arial" w:cs="Arial"/>
        </w:rPr>
        <w:t xml:space="preserve">greater return on investment (ROI), </w:t>
      </w:r>
    </w:p>
    <w:p w:rsidR="004408B4" w:rsidRPr="004408B4" w:rsidRDefault="004408B4" w:rsidP="004408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08B4">
        <w:rPr>
          <w:rFonts w:ascii="Arial" w:hAnsi="Arial" w:cs="Arial"/>
        </w:rPr>
        <w:t>transforming</w:t>
      </w:r>
      <w:r>
        <w:rPr>
          <w:rFonts w:ascii="Arial" w:hAnsi="Arial" w:cs="Arial"/>
        </w:rPr>
        <w:t>, or</w:t>
      </w:r>
    </w:p>
    <w:p w:rsidR="004408B4" w:rsidRPr="004408B4" w:rsidRDefault="004408B4" w:rsidP="004408B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ascii="Arial" w:hAnsi="Arial" w:cs="Arial"/>
        </w:rPr>
        <w:t>fertilizing</w:t>
      </w:r>
    </w:p>
    <w:p w:rsidR="004408B4" w:rsidRPr="00A551A0" w:rsidRDefault="00A551A0">
      <w:pPr>
        <w:rPr>
          <w:b/>
          <w:sz w:val="24"/>
          <w:szCs w:val="24"/>
        </w:rPr>
      </w:pPr>
      <w:r w:rsidRPr="00A551A0">
        <w:rPr>
          <w:b/>
          <w:sz w:val="24"/>
          <w:szCs w:val="24"/>
        </w:rPr>
        <w:t>Potential indicators for assessing AC’s effectiveness in “enriching the lives of our s</w:t>
      </w:r>
      <w:r w:rsidR="00245D93" w:rsidRPr="00A551A0">
        <w:rPr>
          <w:b/>
          <w:sz w:val="24"/>
          <w:szCs w:val="24"/>
        </w:rPr>
        <w:t>tudent</w:t>
      </w:r>
      <w:r w:rsidR="004408B4" w:rsidRPr="00A551A0">
        <w:rPr>
          <w:b/>
          <w:sz w:val="24"/>
          <w:szCs w:val="24"/>
        </w:rPr>
        <w:t>s</w:t>
      </w:r>
      <w:r w:rsidRPr="00A551A0">
        <w:rPr>
          <w:b/>
          <w:sz w:val="24"/>
          <w:szCs w:val="24"/>
        </w:rPr>
        <w:t>”</w:t>
      </w:r>
      <w:r w:rsidR="004408B4" w:rsidRPr="00A551A0">
        <w:rPr>
          <w:b/>
          <w:sz w:val="24"/>
          <w:szCs w:val="24"/>
        </w:rPr>
        <w:t>:</w:t>
      </w:r>
    </w:p>
    <w:p w:rsidR="007C1A85" w:rsidRDefault="007C1A85" w:rsidP="007C1A85">
      <w:pPr>
        <w:ind w:left="1080" w:hanging="720"/>
        <w:rPr>
          <w:rFonts w:ascii="Arial" w:hAnsi="Arial" w:cs="Arial"/>
        </w:rPr>
      </w:pPr>
      <w:r>
        <w:rPr>
          <w:rFonts w:ascii="Arial" w:hAnsi="Arial" w:cs="Arial"/>
        </w:rPr>
        <w:t>Primary question: Did desired changes occur for our AC students?</w:t>
      </w:r>
    </w:p>
    <w:p w:rsidR="00A551A0" w:rsidRDefault="00A551A0" w:rsidP="00A551A0">
      <w:pPr>
        <w:ind w:left="2250" w:hanging="1890"/>
        <w:rPr>
          <w:rFonts w:ascii="Arial" w:hAnsi="Arial" w:cs="Arial"/>
        </w:rPr>
      </w:pPr>
      <w:r>
        <w:rPr>
          <w:rFonts w:ascii="Arial" w:hAnsi="Arial" w:cs="Arial"/>
        </w:rPr>
        <w:t>Direct</w:t>
      </w:r>
      <w:r w:rsidR="007C1A85">
        <w:rPr>
          <w:rFonts w:ascii="Arial" w:hAnsi="Arial" w:cs="Arial"/>
        </w:rPr>
        <w:t xml:space="preserve"> outcomes</w:t>
      </w:r>
      <w:r>
        <w:rPr>
          <w:rFonts w:ascii="Arial" w:hAnsi="Arial" w:cs="Arial"/>
        </w:rPr>
        <w:t xml:space="preserve">: </w:t>
      </w:r>
      <w:r w:rsidR="007C1A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Know = demonstrate that each student was able to accomplish the primary expectation</w:t>
      </w:r>
    </w:p>
    <w:p w:rsidR="00A551A0" w:rsidRDefault="00A551A0" w:rsidP="007C1A8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C1A85">
        <w:rPr>
          <w:rFonts w:ascii="Arial" w:hAnsi="Arial" w:cs="Arial"/>
        </w:rPr>
        <w:t>CTE/Perkins measures</w:t>
      </w:r>
      <w:r w:rsidR="007C1A85">
        <w:rPr>
          <w:rFonts w:ascii="Arial" w:hAnsi="Arial" w:cs="Arial"/>
        </w:rPr>
        <w:t xml:space="preserve"> </w:t>
      </w:r>
    </w:p>
    <w:p w:rsidR="007C1A85" w:rsidRDefault="007C1A85" w:rsidP="007C1A8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General education competencies achieved</w:t>
      </w:r>
    </w:p>
    <w:p w:rsidR="007C1A85" w:rsidRPr="007C1A85" w:rsidRDefault="007C1A85" w:rsidP="007C1A8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Program competencies achieved</w:t>
      </w:r>
    </w:p>
    <w:p w:rsidR="00A551A0" w:rsidRDefault="00A551A0" w:rsidP="00A551A0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Indirect</w:t>
      </w:r>
      <w:r w:rsidR="007C1A85">
        <w:rPr>
          <w:rFonts w:ascii="Arial" w:hAnsi="Arial" w:cs="Arial"/>
        </w:rPr>
        <w:t xml:space="preserve"> outcomes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7C1A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Feel = satisfaction surveys</w:t>
      </w:r>
      <w:r w:rsidR="007C1A85">
        <w:rPr>
          <w:rFonts w:ascii="Arial" w:hAnsi="Arial" w:cs="Arial"/>
        </w:rPr>
        <w:t xml:space="preserve"> </w:t>
      </w:r>
    </w:p>
    <w:p w:rsidR="00A551A0" w:rsidRDefault="00A551A0" w:rsidP="00A551A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Graduating Student Surveys</w:t>
      </w:r>
    </w:p>
    <w:p w:rsidR="00A551A0" w:rsidRDefault="00A551A0" w:rsidP="00A551A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Number of students who transferred general education core curriculum</w:t>
      </w:r>
    </w:p>
    <w:p w:rsidR="00A551A0" w:rsidRDefault="00A551A0" w:rsidP="00A551A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Number of students who transferred the field of study (FOS) curricula</w:t>
      </w:r>
    </w:p>
    <w:p w:rsidR="00A551A0" w:rsidRPr="00A551A0" w:rsidRDefault="00A551A0" w:rsidP="00A551A0">
      <w:pPr>
        <w:rPr>
          <w:b/>
          <w:sz w:val="24"/>
          <w:szCs w:val="24"/>
        </w:rPr>
      </w:pPr>
      <w:r w:rsidRPr="00A551A0">
        <w:rPr>
          <w:b/>
          <w:sz w:val="24"/>
          <w:szCs w:val="24"/>
        </w:rPr>
        <w:t>Potential indicators for assessing AC’s effectiveness in “enriching the lives of our students”:</w:t>
      </w:r>
    </w:p>
    <w:p w:rsidR="00A551A0" w:rsidRDefault="00AD5A0F" w:rsidP="00AD5A0F">
      <w:pPr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Primary question: Did desired changes occur</w:t>
      </w:r>
      <w:r w:rsidR="00A551A0">
        <w:rPr>
          <w:rFonts w:ascii="Arial" w:hAnsi="Arial" w:cs="Arial"/>
        </w:rPr>
        <w:t xml:space="preserve"> with</w:t>
      </w:r>
      <w:r w:rsidR="00C61D25">
        <w:rPr>
          <w:rFonts w:ascii="Arial" w:hAnsi="Arial" w:cs="Arial"/>
        </w:rPr>
        <w:t>in</w:t>
      </w:r>
      <w:r w:rsidR="00A551A0">
        <w:rPr>
          <w:rFonts w:ascii="Arial" w:hAnsi="Arial" w:cs="Arial"/>
        </w:rPr>
        <w:t xml:space="preserve"> the co</w:t>
      </w:r>
      <w:r>
        <w:rPr>
          <w:rFonts w:ascii="Arial" w:hAnsi="Arial" w:cs="Arial"/>
        </w:rPr>
        <w:t>mmunities where AC has campuses</w:t>
      </w:r>
      <w:r w:rsidR="00C61D25">
        <w:rPr>
          <w:rFonts w:ascii="Arial" w:hAnsi="Arial" w:cs="Arial"/>
        </w:rPr>
        <w:t xml:space="preserve"> and/or within AC’s service area</w:t>
      </w:r>
      <w:r>
        <w:rPr>
          <w:rFonts w:ascii="Arial" w:hAnsi="Arial" w:cs="Arial"/>
        </w:rPr>
        <w:t>?</w:t>
      </w:r>
    </w:p>
    <w:p w:rsidR="002813E7" w:rsidRDefault="002813E7" w:rsidP="00AD5A0F">
      <w:pPr>
        <w:ind w:left="1080" w:hanging="360"/>
        <w:rPr>
          <w:rFonts w:ascii="Arial" w:hAnsi="Arial" w:cs="Arial"/>
        </w:rPr>
      </w:pPr>
    </w:p>
    <w:p w:rsidR="00A551A0" w:rsidRDefault="002813E7" w:rsidP="00A551A0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8" type="#_x0000_t103" style="position:absolute;left:0;text-align:left;margin-left:511.3pt;margin-top:27.15pt;width:9.9pt;height:37.55pt;flip:y;z-index:251659264"/>
        </w:pict>
      </w:r>
      <w:r>
        <w:rPr>
          <w:rFonts w:ascii="Arial" w:hAnsi="Arial" w:cs="Arial"/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6" type="#_x0000_t102" style="position:absolute;left:0;text-align:left;margin-left:16.7pt;margin-top:27.15pt;width:10.45pt;height:31.8pt;z-index:251658240"/>
        </w:pict>
      </w:r>
      <w:r>
        <w:rPr>
          <w:rFonts w:ascii="Arial" w:hAnsi="Arial" w:cs="Arial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107" type="#_x0000_t144" style="width:455.5pt;height:40.15pt" fillcolor="black">
            <v:shadow color="#868686"/>
            <v:textpath style="font-family:&quot;Arial Black&quot;" fitshape="t" trim="t" string="Community provides resources = meaningful changes at AC"/>
          </v:shape>
        </w:pict>
      </w:r>
    </w:p>
    <w:p w:rsidR="002813E7" w:rsidRDefault="002813E7" w:rsidP="00A551A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110" type="#_x0000_t175" style="width:467.5pt;height:31.3pt" adj="7200" fillcolor="black">
            <v:shadow color="#868686"/>
            <v:textpath style="font-family:&quot;Arial Black&quot;;v-text-kern:t" trim="t" fitpath="t" string="AC provides resources = meaningful benefits to our community"/>
          </v:shape>
        </w:pict>
      </w:r>
    </w:p>
    <w:p w:rsidR="002813E7" w:rsidRDefault="002813E7" w:rsidP="00A551A0">
      <w:pPr>
        <w:ind w:firstLine="720"/>
        <w:rPr>
          <w:rFonts w:ascii="Arial" w:hAnsi="Arial" w:cs="Arial"/>
        </w:rPr>
      </w:pPr>
    </w:p>
    <w:p w:rsidR="00A551A0" w:rsidRDefault="00992E90" w:rsidP="00A551A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“Amarillo College is the c</w:t>
      </w:r>
      <w:r w:rsidR="00A551A0">
        <w:rPr>
          <w:rFonts w:ascii="Arial" w:hAnsi="Arial" w:cs="Arial"/>
        </w:rPr>
        <w:t>atalyst for changing our community</w:t>
      </w:r>
      <w:r>
        <w:rPr>
          <w:rFonts w:ascii="Arial" w:hAnsi="Arial" w:cs="Arial"/>
        </w:rPr>
        <w:t>.”</w:t>
      </w:r>
    </w:p>
    <w:p w:rsidR="00AD5A0F" w:rsidRDefault="00AD5A0F" w:rsidP="00AD5A0F">
      <w:pPr>
        <w:rPr>
          <w:rFonts w:ascii="Arial" w:hAnsi="Arial" w:cs="Arial"/>
        </w:rPr>
      </w:pPr>
      <w:r>
        <w:rPr>
          <w:rFonts w:ascii="Arial" w:hAnsi="Arial" w:cs="Arial"/>
        </w:rPr>
        <w:tab/>
        <w:t>Possible specific indicators:</w:t>
      </w:r>
    </w:p>
    <w:p w:rsidR="00992E90" w:rsidRDefault="00992E90" w:rsidP="00992E90">
      <w:pPr>
        <w:ind w:left="360" w:firstLine="720"/>
        <w:rPr>
          <w:rFonts w:ascii="Arial" w:hAnsi="Arial" w:cs="Arial"/>
        </w:rPr>
      </w:pPr>
      <w:r w:rsidRPr="00992E90">
        <w:rPr>
          <w:rFonts w:ascii="Arial" w:hAnsi="Arial" w:cs="Arial"/>
        </w:rPr>
        <w:t>Qualitative assessment via focus groups</w:t>
      </w:r>
      <w:r>
        <w:rPr>
          <w:rFonts w:ascii="Arial" w:hAnsi="Arial" w:cs="Arial"/>
        </w:rPr>
        <w:t>:</w:t>
      </w:r>
    </w:p>
    <w:p w:rsidR="00992E90" w:rsidRPr="00992E90" w:rsidRDefault="00992E90" w:rsidP="00992E9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Culture, civic, and community engagement offerings which would not be possible without AC’s contributions</w:t>
      </w:r>
    </w:p>
    <w:p w:rsidR="00992E90" w:rsidRPr="00992E90" w:rsidRDefault="00992E90" w:rsidP="00992E90">
      <w:pPr>
        <w:ind w:left="1080"/>
        <w:rPr>
          <w:rFonts w:ascii="Arial" w:hAnsi="Arial" w:cs="Arial"/>
        </w:rPr>
      </w:pPr>
      <w:r w:rsidRPr="00992E90">
        <w:rPr>
          <w:rFonts w:ascii="Arial" w:hAnsi="Arial" w:cs="Arial"/>
        </w:rPr>
        <w:t>Quantitative assessments:</w:t>
      </w:r>
    </w:p>
    <w:p w:rsidR="00AD5A0F" w:rsidRDefault="00AD5A0F" w:rsidP="00AD5A0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Trend line for the service area’s educational attainment</w:t>
      </w:r>
    </w:p>
    <w:p w:rsidR="00AD5A0F" w:rsidRDefault="00AD5A0F" w:rsidP="00AD5A0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Comparison of AC’s service area’s educational attainment to the educational attainment of average of the peer group of community colleges (Large Colleges within THECB Accountability System)</w:t>
      </w:r>
    </w:p>
    <w:p w:rsidR="00AD5A0F" w:rsidRDefault="00AD5A0F" w:rsidP="00AD5A0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AC’s tax abatements and training of employees for Bell Helicopter Textron, </w:t>
      </w:r>
      <w:proofErr w:type="spellStart"/>
      <w:r>
        <w:rPr>
          <w:rFonts w:ascii="Arial" w:hAnsi="Arial" w:cs="Arial"/>
        </w:rPr>
        <w:t>Alstom</w:t>
      </w:r>
      <w:proofErr w:type="spellEnd"/>
      <w:r>
        <w:rPr>
          <w:rFonts w:ascii="Arial" w:hAnsi="Arial" w:cs="Arial"/>
        </w:rPr>
        <w:t xml:space="preserve">, etc. resulted in - </w:t>
      </w:r>
    </w:p>
    <w:p w:rsidR="00AD5A0F" w:rsidRDefault="00AD5A0F" w:rsidP="00AD5A0F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low-employment trend line</w:t>
      </w:r>
    </w:p>
    <w:p w:rsidR="00AD5A0F" w:rsidRDefault="00AD5A0F" w:rsidP="00AD5A0F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lowest-employment within the state (trend line comparison)</w:t>
      </w:r>
    </w:p>
    <w:p w:rsidR="00C61D25" w:rsidRDefault="00C61D25" w:rsidP="00AD5A0F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number of trainees though Skill Development Fund (SDF) grants</w:t>
      </w:r>
    </w:p>
    <w:p w:rsidR="004408B4" w:rsidRPr="007C1A85" w:rsidRDefault="00C61D25" w:rsidP="00992E90">
      <w:pPr>
        <w:pStyle w:val="ListParagraph"/>
        <w:numPr>
          <w:ilvl w:val="1"/>
          <w:numId w:val="4"/>
        </w:numPr>
        <w:ind w:left="1800"/>
        <w:rPr>
          <w:sz w:val="24"/>
          <w:szCs w:val="24"/>
        </w:rPr>
      </w:pPr>
      <w:r w:rsidRPr="007C1A85">
        <w:rPr>
          <w:rFonts w:ascii="Arial" w:hAnsi="Arial" w:cs="Arial"/>
        </w:rPr>
        <w:t xml:space="preserve">amount of dollars saved to the partner companies because of SDF grants </w:t>
      </w:r>
    </w:p>
    <w:sectPr w:rsidR="004408B4" w:rsidRPr="007C1A85" w:rsidSect="00387D7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E90" w:rsidRDefault="00992E90" w:rsidP="005368D3">
      <w:pPr>
        <w:spacing w:after="0" w:line="240" w:lineRule="auto"/>
      </w:pPr>
      <w:r>
        <w:separator/>
      </w:r>
    </w:p>
  </w:endnote>
  <w:endnote w:type="continuationSeparator" w:id="0">
    <w:p w:rsidR="00992E90" w:rsidRDefault="00992E90" w:rsidP="0053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15141"/>
      <w:docPartObj>
        <w:docPartGallery w:val="Page Numbers (Bottom of Page)"/>
        <w:docPartUnique/>
      </w:docPartObj>
    </w:sdtPr>
    <w:sdtContent>
      <w:p w:rsidR="00992E90" w:rsidRDefault="00992E90">
        <w:pPr>
          <w:pStyle w:val="Footer"/>
          <w:jc w:val="center"/>
        </w:pPr>
        <w:fldSimple w:instr=" PAGE   \* MERGEFORMAT ">
          <w:r w:rsidR="007C1A85">
            <w:rPr>
              <w:noProof/>
            </w:rPr>
            <w:t>2</w:t>
          </w:r>
        </w:fldSimple>
      </w:p>
    </w:sdtContent>
  </w:sdt>
  <w:p w:rsidR="00992E90" w:rsidRDefault="00992E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E90" w:rsidRDefault="00992E90" w:rsidP="005368D3">
      <w:pPr>
        <w:spacing w:after="0" w:line="240" w:lineRule="auto"/>
      </w:pPr>
      <w:r>
        <w:separator/>
      </w:r>
    </w:p>
  </w:footnote>
  <w:footnote w:type="continuationSeparator" w:id="0">
    <w:p w:rsidR="00992E90" w:rsidRDefault="00992E90" w:rsidP="0053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36FC"/>
    <w:multiLevelType w:val="hybridMultilevel"/>
    <w:tmpl w:val="21BA4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D6AA8"/>
    <w:multiLevelType w:val="hybridMultilevel"/>
    <w:tmpl w:val="F99A2188"/>
    <w:lvl w:ilvl="0" w:tplc="0409000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5" w:hanging="360"/>
      </w:pPr>
      <w:rPr>
        <w:rFonts w:ascii="Wingdings" w:hAnsi="Wingdings" w:hint="default"/>
      </w:rPr>
    </w:lvl>
  </w:abstractNum>
  <w:abstractNum w:abstractNumId="2">
    <w:nsid w:val="2AB1089D"/>
    <w:multiLevelType w:val="hybridMultilevel"/>
    <w:tmpl w:val="C33A4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751E57"/>
    <w:multiLevelType w:val="hybridMultilevel"/>
    <w:tmpl w:val="475E6C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5985D7E"/>
    <w:multiLevelType w:val="hybridMultilevel"/>
    <w:tmpl w:val="F5A0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27AE6"/>
    <w:multiLevelType w:val="hybridMultilevel"/>
    <w:tmpl w:val="5EB6E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E3ADA"/>
    <w:multiLevelType w:val="hybridMultilevel"/>
    <w:tmpl w:val="10E47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D11"/>
    <w:rsid w:val="00245D93"/>
    <w:rsid w:val="002813E7"/>
    <w:rsid w:val="00387D7B"/>
    <w:rsid w:val="004408B4"/>
    <w:rsid w:val="005368D3"/>
    <w:rsid w:val="007C1A85"/>
    <w:rsid w:val="008E31EE"/>
    <w:rsid w:val="00922704"/>
    <w:rsid w:val="009802BA"/>
    <w:rsid w:val="00992E90"/>
    <w:rsid w:val="009F51C3"/>
    <w:rsid w:val="00A551A0"/>
    <w:rsid w:val="00A65F1A"/>
    <w:rsid w:val="00AD5A0F"/>
    <w:rsid w:val="00C61D25"/>
    <w:rsid w:val="00CE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11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4">
    <w:name w:val="p4"/>
    <w:basedOn w:val="Normal"/>
    <w:rsid w:val="00CE0D11"/>
    <w:pPr>
      <w:widowControl w:val="0"/>
      <w:tabs>
        <w:tab w:val="left" w:pos="138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CE0D11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08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68D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8D3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actech</dc:creator>
  <cp:keywords/>
  <dc:description/>
  <cp:lastModifiedBy>actech</cp:lastModifiedBy>
  <cp:revision>10</cp:revision>
  <cp:lastPrinted>2010-03-24T16:05:00Z</cp:lastPrinted>
  <dcterms:created xsi:type="dcterms:W3CDTF">2010-03-22T16:18:00Z</dcterms:created>
  <dcterms:modified xsi:type="dcterms:W3CDTF">2010-03-24T19:34:00Z</dcterms:modified>
</cp:coreProperties>
</file>